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2E432" w14:textId="77777777" w:rsidR="00855A3B" w:rsidRDefault="00855A3B" w:rsidP="007E0C89">
      <w:pPr>
        <w:spacing w:after="0"/>
      </w:pPr>
    </w:p>
    <w:p w14:paraId="0A49440F"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1FB74D4A" w14:textId="77777777" w:rsidR="00277ABA" w:rsidRPr="00D15B23" w:rsidRDefault="00277ABA" w:rsidP="00277ABA">
      <w:pPr>
        <w:spacing w:after="0"/>
        <w:ind w:right="48" w:firstLine="708"/>
        <w:jc w:val="center"/>
        <w:rPr>
          <w:rFonts w:ascii="Arial" w:eastAsiaTheme="minorHAnsi" w:hAnsi="Arial" w:cs="Arial"/>
          <w:b/>
          <w:lang w:val="es-CO"/>
        </w:rPr>
      </w:pPr>
      <w:r w:rsidRPr="00D15B23">
        <w:rPr>
          <w:rFonts w:ascii="Arial" w:eastAsiaTheme="minorHAnsi" w:hAnsi="Arial" w:cs="Arial"/>
          <w:b/>
          <w:lang w:val="es-CO"/>
        </w:rPr>
        <w:t>“POR EL CUAL SE ORDENA EL ARCHIVO DE UN TRÁMITE AMBIENTAL Y SE ADOPTAN OTRAS DETERMINACIONES”</w:t>
      </w:r>
    </w:p>
    <w:p w14:paraId="561CDB42" w14:textId="77777777" w:rsidR="00277ABA" w:rsidRPr="00D15B23" w:rsidRDefault="00277ABA" w:rsidP="00277ABA">
      <w:pPr>
        <w:spacing w:after="0"/>
        <w:ind w:right="48"/>
        <w:jc w:val="center"/>
        <w:rPr>
          <w:rFonts w:ascii="Arial" w:eastAsiaTheme="minorHAnsi" w:hAnsi="Arial" w:cs="Arial"/>
          <w:b/>
          <w:lang w:val="es-CO"/>
        </w:rPr>
      </w:pPr>
    </w:p>
    <w:p w14:paraId="2C1468D7" w14:textId="77777777" w:rsidR="00277ABA" w:rsidRPr="00D15B23" w:rsidRDefault="00277ABA" w:rsidP="00277ABA">
      <w:pPr>
        <w:spacing w:after="0"/>
        <w:ind w:right="48"/>
        <w:jc w:val="center"/>
        <w:rPr>
          <w:rFonts w:ascii="Arial" w:eastAsiaTheme="minorHAnsi" w:hAnsi="Arial" w:cs="Arial"/>
          <w:b/>
          <w:lang w:val="es-CO"/>
        </w:rPr>
      </w:pPr>
      <w:r w:rsidRPr="00D15B23">
        <w:rPr>
          <w:rFonts w:ascii="Arial" w:eastAsiaTheme="minorHAnsi" w:hAnsi="Arial" w:cs="Arial"/>
          <w:b/>
          <w:lang w:val="es-CO"/>
        </w:rPr>
        <w:t>LA SUBDIRECCIÓN DE SILVICULTURA, FLORA Y FAUNA SILVESTRE DE LA SECRETARIA DISTRITAL DE AMBIENTE</w:t>
      </w:r>
    </w:p>
    <w:p w14:paraId="2606CF3B" w14:textId="77777777" w:rsidR="00277ABA" w:rsidRPr="00D15B23" w:rsidRDefault="00277ABA" w:rsidP="00277ABA">
      <w:pPr>
        <w:spacing w:after="0"/>
        <w:ind w:right="48"/>
        <w:jc w:val="both"/>
        <w:rPr>
          <w:rFonts w:ascii="Arial" w:eastAsiaTheme="minorHAnsi" w:hAnsi="Arial" w:cs="Arial"/>
          <w:b/>
          <w:lang w:val="es-CO"/>
        </w:rPr>
      </w:pPr>
    </w:p>
    <w:p w14:paraId="6E48DD14" w14:textId="77777777" w:rsidR="00277ABA" w:rsidRPr="00D15B23" w:rsidRDefault="00277ABA" w:rsidP="00277ABA">
      <w:pPr>
        <w:spacing w:after="0"/>
        <w:ind w:right="48"/>
        <w:jc w:val="both"/>
        <w:rPr>
          <w:rFonts w:ascii="Arial" w:hAnsi="Arial" w:cs="Arial"/>
          <w:shd w:val="clear" w:color="auto" w:fill="FFFFFF"/>
        </w:rPr>
      </w:pPr>
      <w:r w:rsidRPr="00D15B23">
        <w:rPr>
          <w:rFonts w:ascii="Arial" w:hAnsi="Arial" w:cs="Arial"/>
        </w:rPr>
        <w:t>De conformidad con lo dispuesto en la Ley 99 de 1993</w:t>
      </w:r>
      <w:r w:rsidRPr="00D15B23">
        <w:rPr>
          <w:rFonts w:ascii="Arial" w:hAnsi="Arial" w:cs="Arial"/>
          <w:shd w:val="clear" w:color="auto" w:fill="FFFFFF"/>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D15B23">
        <w:rPr>
          <w:rFonts w:ascii="Arial" w:hAnsi="Arial" w:cs="Arial"/>
          <w:shd w:val="clear" w:color="auto" w:fill="FFFFFF"/>
        </w:rPr>
        <w:tab/>
      </w:r>
    </w:p>
    <w:p w14:paraId="7C562F83" w14:textId="77777777" w:rsidR="00277ABA" w:rsidRPr="00D15B23" w:rsidRDefault="00277ABA" w:rsidP="00277ABA">
      <w:pPr>
        <w:spacing w:after="0"/>
        <w:ind w:right="48"/>
        <w:jc w:val="both"/>
        <w:rPr>
          <w:rFonts w:ascii="Arial" w:hAnsi="Arial" w:cs="Arial"/>
          <w:shd w:val="clear" w:color="auto" w:fill="FFFFFF"/>
        </w:rPr>
      </w:pPr>
    </w:p>
    <w:p w14:paraId="1169C07C" w14:textId="77777777" w:rsidR="00277ABA" w:rsidRPr="00D15B23" w:rsidRDefault="00277ABA" w:rsidP="00277ABA">
      <w:pPr>
        <w:pStyle w:val="Sinespaciado"/>
        <w:spacing w:line="276" w:lineRule="auto"/>
        <w:ind w:right="48"/>
        <w:jc w:val="center"/>
        <w:rPr>
          <w:rFonts w:ascii="Arial" w:hAnsi="Arial" w:cs="Arial"/>
          <w:b/>
        </w:rPr>
      </w:pPr>
      <w:r w:rsidRPr="00D15B23">
        <w:rPr>
          <w:rFonts w:ascii="Arial" w:hAnsi="Arial" w:cs="Arial"/>
          <w:b/>
        </w:rPr>
        <w:t>CONSIDERANDO</w:t>
      </w:r>
    </w:p>
    <w:p w14:paraId="210A0D52" w14:textId="77777777" w:rsidR="00277ABA" w:rsidRPr="00D15B23" w:rsidRDefault="00277ABA" w:rsidP="00277ABA">
      <w:pPr>
        <w:pStyle w:val="Sinespaciado"/>
        <w:spacing w:line="276" w:lineRule="auto"/>
        <w:ind w:right="48"/>
        <w:jc w:val="both"/>
        <w:rPr>
          <w:rFonts w:ascii="Arial" w:hAnsi="Arial" w:cs="Arial"/>
          <w:b/>
        </w:rPr>
      </w:pPr>
    </w:p>
    <w:p w14:paraId="19ADC614" w14:textId="77777777" w:rsidR="00277ABA" w:rsidRPr="00D15B23" w:rsidRDefault="00277ABA" w:rsidP="00277ABA">
      <w:pPr>
        <w:pStyle w:val="Sinespaciado"/>
        <w:spacing w:line="276" w:lineRule="auto"/>
        <w:ind w:right="48"/>
        <w:jc w:val="both"/>
        <w:rPr>
          <w:rFonts w:ascii="Arial" w:hAnsi="Arial" w:cs="Arial"/>
          <w:b/>
        </w:rPr>
      </w:pPr>
      <w:r w:rsidRPr="00D15B23">
        <w:rPr>
          <w:rFonts w:ascii="Arial" w:hAnsi="Arial" w:cs="Arial"/>
          <w:b/>
        </w:rPr>
        <w:t>ANTECEDENTES</w:t>
      </w:r>
    </w:p>
    <w:p w14:paraId="3A94A516" w14:textId="77777777" w:rsidR="00277ABA" w:rsidRPr="00D15B23" w:rsidRDefault="00277ABA" w:rsidP="00277ABA">
      <w:pPr>
        <w:autoSpaceDE w:val="0"/>
        <w:autoSpaceDN w:val="0"/>
        <w:adjustRightInd w:val="0"/>
        <w:spacing w:after="0"/>
        <w:jc w:val="both"/>
        <w:rPr>
          <w:rFonts w:ascii="Arial" w:hAnsi="Arial" w:cs="Arial"/>
          <w:lang w:val="es-CO"/>
        </w:rPr>
      </w:pPr>
    </w:p>
    <w:p w14:paraId="738E2331" w14:textId="77777777" w:rsidR="00277ABA" w:rsidRDefault="00277ABA" w:rsidP="00277ABA">
      <w:pPr>
        <w:autoSpaceDE w:val="0"/>
        <w:autoSpaceDN w:val="0"/>
        <w:adjustRightInd w:val="0"/>
        <w:spacing w:after="0"/>
        <w:jc w:val="both"/>
        <w:rPr>
          <w:rFonts w:ascii="Arial" w:hAnsi="Arial" w:cs="Arial"/>
          <w:lang w:val="es-CO"/>
        </w:rPr>
      </w:pPr>
      <w:r w:rsidRPr="00D15B23">
        <w:rPr>
          <w:rFonts w:ascii="Arial" w:hAnsi="Arial" w:cs="Arial"/>
          <w:lang w:val="es-CO"/>
        </w:rPr>
        <w:t xml:space="preserve">Que, la Subdirección de Silvicultura, Flora y Fauna Silvestre de la Secretaría Distrital de Ambiente (SDA), autorizó al </w:t>
      </w:r>
      <w:r>
        <w:rPr>
          <w:rFonts w:ascii="Arial" w:hAnsi="Arial" w:cs="Arial"/>
          <w:lang w:val="es-CO"/>
        </w:rPr>
        <w:t>UNIDAD ADMINISTRATIVA ESPECIAL DE SERVICIOS PUBLICOS - UAESP</w:t>
      </w:r>
      <w:r w:rsidRPr="00D15B23">
        <w:rPr>
          <w:rFonts w:ascii="Arial" w:hAnsi="Arial" w:cs="Arial"/>
          <w:lang w:val="es-CO"/>
        </w:rPr>
        <w:t xml:space="preserve">, con NIT. </w:t>
      </w:r>
      <w:r>
        <w:rPr>
          <w:rFonts w:ascii="Arial" w:hAnsi="Arial" w:cs="Arial"/>
          <w:lang w:val="es-CO"/>
        </w:rPr>
        <w:t>900.126.860-4</w:t>
      </w:r>
      <w:r w:rsidRPr="00D15B23">
        <w:rPr>
          <w:rFonts w:ascii="Arial" w:hAnsi="Arial" w:cs="Arial"/>
          <w:lang w:val="es-CO"/>
        </w:rPr>
        <w:t xml:space="preserve">, a través de su representante legal, o quien haga sus veces, para ejecutar unas actividades silviculturales, </w:t>
      </w:r>
      <w:r>
        <w:rPr>
          <w:rFonts w:ascii="Arial" w:hAnsi="Arial" w:cs="Arial"/>
          <w:lang w:val="es-CO"/>
        </w:rPr>
        <w:t>en atención a</w:t>
      </w:r>
      <w:r w:rsidRPr="00D15B23">
        <w:rPr>
          <w:rFonts w:ascii="Arial" w:hAnsi="Arial" w:cs="Arial"/>
          <w:lang w:val="es-CO"/>
        </w:rPr>
        <w:t xml:space="preserve"> los siguientes radicados que se relacionan a continuación:</w:t>
      </w:r>
    </w:p>
    <w:p w14:paraId="2EE905B7" w14:textId="77777777" w:rsidR="00277ABA" w:rsidRPr="009131D7" w:rsidRDefault="00277ABA" w:rsidP="00277ABA">
      <w:pPr>
        <w:autoSpaceDE w:val="0"/>
        <w:autoSpaceDN w:val="0"/>
        <w:adjustRightInd w:val="0"/>
        <w:spacing w:after="0" w:line="240" w:lineRule="auto"/>
        <w:jc w:val="both"/>
        <w:rPr>
          <w:rFonts w:ascii="Arial" w:eastAsia="Times New Roman" w:hAnsi="Arial" w:cs="Arial"/>
          <w:color w:val="7030A0"/>
        </w:rPr>
      </w:pPr>
    </w:p>
    <w:tbl>
      <w:tblPr>
        <w:tblW w:w="9214" w:type="dxa"/>
        <w:jc w:val="center"/>
        <w:tblLayout w:type="fixed"/>
        <w:tblCellMar>
          <w:left w:w="70" w:type="dxa"/>
          <w:right w:w="70" w:type="dxa"/>
        </w:tblCellMar>
        <w:tblLook w:val="04A0" w:firstRow="1" w:lastRow="0" w:firstColumn="1" w:lastColumn="0" w:noHBand="0" w:noVBand="1"/>
      </w:tblPr>
      <w:tblGrid>
        <w:gridCol w:w="430"/>
        <w:gridCol w:w="1271"/>
        <w:gridCol w:w="1276"/>
        <w:gridCol w:w="1276"/>
        <w:gridCol w:w="1417"/>
        <w:gridCol w:w="993"/>
        <w:gridCol w:w="1134"/>
        <w:gridCol w:w="1417"/>
      </w:tblGrid>
      <w:tr w:rsidR="00277ABA" w14:paraId="52D06B37" w14:textId="77777777" w:rsidTr="00F25B02">
        <w:trPr>
          <w:trHeight w:val="397"/>
          <w:jc w:val="center"/>
        </w:trPr>
        <w:tc>
          <w:tcPr>
            <w:tcW w:w="430" w:type="dxa"/>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3C8CFB26" w14:textId="77777777" w:rsidR="00277ABA" w:rsidRPr="00574E3B" w:rsidRDefault="00277A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No.</w:t>
            </w:r>
          </w:p>
        </w:tc>
        <w:tc>
          <w:tcPr>
            <w:tcW w:w="1271" w:type="dxa"/>
            <w:tcBorders>
              <w:top w:val="single" w:sz="4" w:space="0" w:color="auto"/>
              <w:left w:val="single" w:sz="4" w:space="0" w:color="auto"/>
              <w:bottom w:val="single" w:sz="4" w:space="0" w:color="auto"/>
              <w:right w:val="single" w:sz="4" w:space="0" w:color="auto"/>
            </w:tcBorders>
            <w:shd w:val="clear" w:color="auto" w:fill="5B9BD5" w:themeFill="accent1"/>
            <w:noWrap/>
            <w:vAlign w:val="center"/>
            <w:hideMark/>
          </w:tcPr>
          <w:p w14:paraId="078BA717" w14:textId="77777777" w:rsidR="00277ABA" w:rsidRPr="00574E3B" w:rsidRDefault="00277A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Radicado inicial</w:t>
            </w:r>
          </w:p>
        </w:tc>
        <w:tc>
          <w:tcPr>
            <w:tcW w:w="1276" w:type="dxa"/>
            <w:tcBorders>
              <w:top w:val="single" w:sz="4" w:space="0" w:color="auto"/>
              <w:left w:val="nil"/>
              <w:bottom w:val="single" w:sz="4" w:space="0" w:color="auto"/>
              <w:right w:val="single" w:sz="4" w:space="0" w:color="auto"/>
            </w:tcBorders>
            <w:shd w:val="clear" w:color="auto" w:fill="5B9BD5" w:themeFill="accent1"/>
            <w:vAlign w:val="center"/>
            <w:hideMark/>
          </w:tcPr>
          <w:p w14:paraId="1395DF5F" w14:textId="77777777" w:rsidR="00277ABA" w:rsidRPr="00574E3B" w:rsidRDefault="00277A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Dirección</w:t>
            </w:r>
          </w:p>
        </w:tc>
        <w:tc>
          <w:tcPr>
            <w:tcW w:w="1276" w:type="dxa"/>
            <w:tcBorders>
              <w:top w:val="single" w:sz="4" w:space="0" w:color="auto"/>
              <w:left w:val="nil"/>
              <w:bottom w:val="single" w:sz="4" w:space="0" w:color="auto"/>
              <w:right w:val="single" w:sz="4" w:space="0" w:color="auto"/>
            </w:tcBorders>
            <w:shd w:val="clear" w:color="auto" w:fill="5B9BD5" w:themeFill="accent1"/>
            <w:noWrap/>
            <w:vAlign w:val="center"/>
            <w:hideMark/>
          </w:tcPr>
          <w:p w14:paraId="77A6F3F5" w14:textId="77777777" w:rsidR="00277ABA" w:rsidRPr="00574E3B" w:rsidRDefault="00277A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Concepto técnico de autorización</w:t>
            </w:r>
          </w:p>
        </w:tc>
        <w:tc>
          <w:tcPr>
            <w:tcW w:w="1417" w:type="dxa"/>
            <w:tcBorders>
              <w:top w:val="single" w:sz="4" w:space="0" w:color="auto"/>
              <w:left w:val="nil"/>
              <w:bottom w:val="single" w:sz="4" w:space="0" w:color="auto"/>
              <w:right w:val="single" w:sz="4" w:space="0" w:color="auto"/>
            </w:tcBorders>
            <w:shd w:val="clear" w:color="auto" w:fill="5B9BD5" w:themeFill="accent1"/>
            <w:vAlign w:val="center"/>
            <w:hideMark/>
          </w:tcPr>
          <w:p w14:paraId="5AEA03E6" w14:textId="77777777" w:rsidR="00277ABA" w:rsidRPr="00574E3B" w:rsidRDefault="00277A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Compensación</w:t>
            </w:r>
          </w:p>
        </w:tc>
        <w:tc>
          <w:tcPr>
            <w:tcW w:w="993" w:type="dxa"/>
            <w:tcBorders>
              <w:top w:val="single" w:sz="4" w:space="0" w:color="auto"/>
              <w:left w:val="nil"/>
              <w:bottom w:val="single" w:sz="4" w:space="0" w:color="auto"/>
              <w:right w:val="single" w:sz="4" w:space="0" w:color="auto"/>
            </w:tcBorders>
            <w:shd w:val="clear" w:color="auto" w:fill="5B9BD5" w:themeFill="accent1"/>
            <w:vAlign w:val="center"/>
            <w:hideMark/>
          </w:tcPr>
          <w:p w14:paraId="5EA47F2C" w14:textId="77777777" w:rsidR="00277ABA" w:rsidRPr="00574E3B" w:rsidRDefault="00277A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Evaluación</w:t>
            </w:r>
          </w:p>
        </w:tc>
        <w:tc>
          <w:tcPr>
            <w:tcW w:w="1134" w:type="dxa"/>
            <w:tcBorders>
              <w:top w:val="single" w:sz="4" w:space="0" w:color="auto"/>
              <w:left w:val="nil"/>
              <w:bottom w:val="single" w:sz="4" w:space="0" w:color="auto"/>
              <w:right w:val="single" w:sz="4" w:space="0" w:color="auto"/>
            </w:tcBorders>
            <w:shd w:val="clear" w:color="auto" w:fill="5B9BD5" w:themeFill="accent1"/>
            <w:vAlign w:val="center"/>
            <w:hideMark/>
          </w:tcPr>
          <w:p w14:paraId="67AF950C" w14:textId="77777777" w:rsidR="00277ABA" w:rsidRPr="00574E3B" w:rsidRDefault="00277A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Seguimiento</w:t>
            </w:r>
          </w:p>
        </w:tc>
        <w:tc>
          <w:tcPr>
            <w:tcW w:w="1417" w:type="dxa"/>
            <w:tcBorders>
              <w:top w:val="single" w:sz="4" w:space="0" w:color="auto"/>
              <w:left w:val="nil"/>
              <w:bottom w:val="single" w:sz="4" w:space="0" w:color="auto"/>
              <w:right w:val="single" w:sz="4" w:space="0" w:color="auto"/>
            </w:tcBorders>
            <w:shd w:val="clear" w:color="auto" w:fill="5B9BD5" w:themeFill="accent1"/>
            <w:vAlign w:val="center"/>
            <w:hideMark/>
          </w:tcPr>
          <w:p w14:paraId="55F5D3EF" w14:textId="77777777" w:rsidR="00277ABA" w:rsidRPr="00574E3B" w:rsidRDefault="00277ABA"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Concepto técnico de seguimiento</w:t>
            </w:r>
          </w:p>
        </w:tc>
      </w:tr>
      <w:tr w:rsidR="00277ABA" w:rsidRPr="00D11BCE" w14:paraId="435C7D49" w14:textId="77777777" w:rsidTr="00F25B02">
        <w:trPr>
          <w:trHeight w:val="276"/>
          <w:jc w:val="center"/>
        </w:trPr>
        <w:tc>
          <w:tcPr>
            <w:tcW w:w="430" w:type="dxa"/>
            <w:tcBorders>
              <w:top w:val="single" w:sz="4" w:space="0" w:color="auto"/>
              <w:left w:val="single" w:sz="4" w:space="0" w:color="auto"/>
              <w:bottom w:val="single" w:sz="4" w:space="0" w:color="auto"/>
              <w:right w:val="single" w:sz="4" w:space="0" w:color="auto"/>
            </w:tcBorders>
            <w:vAlign w:val="center"/>
          </w:tcPr>
          <w:p w14:paraId="20ADEC55"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1</w:t>
            </w:r>
          </w:p>
        </w:tc>
        <w:tc>
          <w:tcPr>
            <w:tcW w:w="1271" w:type="dxa"/>
            <w:tcBorders>
              <w:top w:val="single" w:sz="4" w:space="0" w:color="auto"/>
              <w:left w:val="single" w:sz="4" w:space="0" w:color="auto"/>
              <w:bottom w:val="single" w:sz="4" w:space="0" w:color="auto"/>
              <w:right w:val="single" w:sz="4" w:space="0" w:color="auto"/>
            </w:tcBorders>
            <w:noWrap/>
            <w:vAlign w:val="center"/>
          </w:tcPr>
          <w:p w14:paraId="4B503A11"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EE7DCC">
              <w:rPr>
                <w:rFonts w:ascii="Arial" w:eastAsia="Times New Roman" w:hAnsi="Arial" w:cs="Arial"/>
                <w:color w:val="000000" w:themeColor="text1"/>
                <w:sz w:val="16"/>
                <w:szCs w:val="16"/>
              </w:rPr>
              <w:t>2023ER266687</w:t>
            </w:r>
          </w:p>
        </w:tc>
        <w:tc>
          <w:tcPr>
            <w:tcW w:w="1276" w:type="dxa"/>
            <w:tcBorders>
              <w:top w:val="single" w:sz="4" w:space="0" w:color="auto"/>
              <w:left w:val="single" w:sz="4" w:space="0" w:color="auto"/>
              <w:bottom w:val="single" w:sz="4" w:space="0" w:color="auto"/>
              <w:right w:val="single" w:sz="4" w:space="0" w:color="auto"/>
            </w:tcBorders>
            <w:vAlign w:val="center"/>
          </w:tcPr>
          <w:p w14:paraId="5FD07910"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p>
          <w:p w14:paraId="5BC14150"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xml:space="preserve">Carrera </w:t>
            </w:r>
            <w:r w:rsidRPr="007B364E">
              <w:rPr>
                <w:rFonts w:ascii="Arial" w:eastAsia="Times New Roman" w:hAnsi="Arial" w:cs="Arial"/>
                <w:color w:val="000000" w:themeColor="text1"/>
                <w:sz w:val="16"/>
                <w:szCs w:val="16"/>
              </w:rPr>
              <w:t xml:space="preserve">68 G </w:t>
            </w:r>
            <w:r>
              <w:rPr>
                <w:rFonts w:ascii="Arial" w:eastAsia="Times New Roman" w:hAnsi="Arial" w:cs="Arial"/>
                <w:color w:val="000000" w:themeColor="text1"/>
                <w:sz w:val="16"/>
                <w:szCs w:val="16"/>
              </w:rPr>
              <w:t xml:space="preserve">No. </w:t>
            </w:r>
            <w:r w:rsidRPr="007B364E">
              <w:rPr>
                <w:rFonts w:ascii="Arial" w:eastAsia="Times New Roman" w:hAnsi="Arial" w:cs="Arial"/>
                <w:color w:val="000000" w:themeColor="text1"/>
                <w:sz w:val="16"/>
                <w:szCs w:val="16"/>
              </w:rPr>
              <w:t xml:space="preserve">66 </w:t>
            </w:r>
            <w:r>
              <w:rPr>
                <w:rFonts w:ascii="Arial" w:eastAsia="Times New Roman" w:hAnsi="Arial" w:cs="Arial"/>
                <w:color w:val="000000" w:themeColor="text1"/>
                <w:sz w:val="16"/>
                <w:szCs w:val="16"/>
              </w:rPr>
              <w:t xml:space="preserve">- </w:t>
            </w:r>
            <w:r w:rsidRPr="007B364E">
              <w:rPr>
                <w:rFonts w:ascii="Arial" w:eastAsia="Times New Roman" w:hAnsi="Arial" w:cs="Arial"/>
                <w:color w:val="000000" w:themeColor="text1"/>
                <w:sz w:val="16"/>
                <w:szCs w:val="16"/>
              </w:rPr>
              <w:t>70</w:t>
            </w:r>
            <w:r w:rsidRPr="00D11BCE">
              <w:rPr>
                <w:rFonts w:ascii="Arial" w:eastAsia="Times New Roman" w:hAnsi="Arial" w:cs="Arial"/>
                <w:color w:val="000000" w:themeColor="text1"/>
                <w:sz w:val="16"/>
                <w:szCs w:val="16"/>
              </w:rPr>
              <w:t>, Localidad (1</w:t>
            </w:r>
            <w:r>
              <w:rPr>
                <w:rFonts w:ascii="Arial" w:eastAsia="Times New Roman" w:hAnsi="Arial" w:cs="Arial"/>
                <w:color w:val="000000" w:themeColor="text1"/>
                <w:sz w:val="16"/>
                <w:szCs w:val="16"/>
              </w:rPr>
              <w:t>0</w:t>
            </w:r>
            <w:r w:rsidRPr="00D11BCE">
              <w:rPr>
                <w:rFonts w:ascii="Arial" w:eastAsia="Times New Roman" w:hAnsi="Arial" w:cs="Arial"/>
                <w:color w:val="000000" w:themeColor="text1"/>
                <w:sz w:val="16"/>
                <w:szCs w:val="16"/>
              </w:rPr>
              <w:t xml:space="preserve">) </w:t>
            </w:r>
            <w:r w:rsidRPr="006838A0">
              <w:rPr>
                <w:rFonts w:ascii="Arial" w:eastAsia="Times New Roman" w:hAnsi="Arial" w:cs="Arial"/>
                <w:color w:val="000000" w:themeColor="text1"/>
                <w:sz w:val="16"/>
                <w:szCs w:val="16"/>
              </w:rPr>
              <w:t>Engativá</w:t>
            </w:r>
            <w:r w:rsidRPr="00D11BCE">
              <w:rPr>
                <w:rFonts w:ascii="Arial" w:eastAsia="Times New Roman" w:hAnsi="Arial" w:cs="Arial"/>
                <w:color w:val="000000" w:themeColor="text1"/>
                <w:sz w:val="16"/>
                <w:szCs w:val="16"/>
              </w:rPr>
              <w:t xml:space="preserve">. </w:t>
            </w:r>
          </w:p>
          <w:p w14:paraId="1FF3867C"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5C7B1684"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p>
          <w:p w14:paraId="791BAD20"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7B364E">
              <w:rPr>
                <w:rFonts w:ascii="Arial" w:eastAsia="Times New Roman" w:hAnsi="Arial" w:cs="Arial"/>
                <w:color w:val="000000" w:themeColor="text1"/>
                <w:sz w:val="16"/>
                <w:szCs w:val="16"/>
              </w:rPr>
              <w:t>SSFFS-00098 del 9 de enero 2024</w:t>
            </w:r>
            <w:r>
              <w:rPr>
                <w:rFonts w:ascii="Arial" w:eastAsia="Times New Roman" w:hAnsi="Arial" w:cs="Arial"/>
                <w:color w:val="000000" w:themeColor="text1"/>
                <w:sz w:val="16"/>
                <w:szCs w:val="16"/>
              </w:rPr>
              <w:t>.</w:t>
            </w:r>
          </w:p>
        </w:tc>
        <w:tc>
          <w:tcPr>
            <w:tcW w:w="1417" w:type="dxa"/>
            <w:tcBorders>
              <w:top w:val="single" w:sz="4" w:space="0" w:color="auto"/>
              <w:left w:val="single" w:sz="4" w:space="0" w:color="auto"/>
              <w:bottom w:val="single" w:sz="4" w:space="0" w:color="auto"/>
              <w:right w:val="single" w:sz="4" w:space="0" w:color="auto"/>
            </w:tcBorders>
            <w:vAlign w:val="center"/>
          </w:tcPr>
          <w:p w14:paraId="35CDA966"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993" w:type="dxa"/>
            <w:tcBorders>
              <w:top w:val="single" w:sz="4" w:space="0" w:color="auto"/>
              <w:left w:val="single" w:sz="4" w:space="0" w:color="auto"/>
              <w:bottom w:val="single" w:sz="4" w:space="0" w:color="auto"/>
              <w:right w:val="single" w:sz="4" w:space="0" w:color="auto"/>
            </w:tcBorders>
            <w:vAlign w:val="center"/>
          </w:tcPr>
          <w:p w14:paraId="2DE882CD"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4BEEB6A8"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417" w:type="dxa"/>
            <w:tcBorders>
              <w:top w:val="single" w:sz="4" w:space="0" w:color="auto"/>
              <w:left w:val="single" w:sz="4" w:space="0" w:color="auto"/>
              <w:bottom w:val="single" w:sz="4" w:space="0" w:color="auto"/>
              <w:right w:val="single" w:sz="4" w:space="0" w:color="auto"/>
            </w:tcBorders>
            <w:vAlign w:val="center"/>
          </w:tcPr>
          <w:p w14:paraId="1FE2301D"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7B364E">
              <w:rPr>
                <w:rFonts w:ascii="Arial" w:eastAsia="Times New Roman" w:hAnsi="Arial" w:cs="Arial"/>
                <w:color w:val="000000" w:themeColor="text1"/>
                <w:sz w:val="16"/>
                <w:szCs w:val="16"/>
              </w:rPr>
              <w:t>Concepto Técnico No. 04781, del 28 de junio del 2025</w:t>
            </w:r>
            <w:r>
              <w:rPr>
                <w:rFonts w:ascii="Arial" w:eastAsia="Times New Roman" w:hAnsi="Arial" w:cs="Arial"/>
                <w:color w:val="000000" w:themeColor="text1"/>
                <w:sz w:val="16"/>
                <w:szCs w:val="16"/>
              </w:rPr>
              <w:t>.</w:t>
            </w:r>
          </w:p>
        </w:tc>
      </w:tr>
      <w:tr w:rsidR="00277ABA" w:rsidRPr="00D11BCE" w14:paraId="60B55E33" w14:textId="77777777" w:rsidTr="00F25B02">
        <w:trPr>
          <w:trHeight w:val="867"/>
          <w:jc w:val="center"/>
        </w:trPr>
        <w:tc>
          <w:tcPr>
            <w:tcW w:w="430" w:type="dxa"/>
            <w:tcBorders>
              <w:top w:val="single" w:sz="4" w:space="0" w:color="auto"/>
              <w:left w:val="single" w:sz="4" w:space="0" w:color="auto"/>
              <w:bottom w:val="single" w:sz="4" w:space="0" w:color="auto"/>
              <w:right w:val="single" w:sz="4" w:space="0" w:color="auto"/>
            </w:tcBorders>
            <w:vAlign w:val="center"/>
          </w:tcPr>
          <w:p w14:paraId="4E3F2E90"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2</w:t>
            </w:r>
          </w:p>
        </w:tc>
        <w:tc>
          <w:tcPr>
            <w:tcW w:w="1271" w:type="dxa"/>
            <w:tcBorders>
              <w:top w:val="single" w:sz="4" w:space="0" w:color="auto"/>
              <w:left w:val="single" w:sz="4" w:space="0" w:color="auto"/>
              <w:bottom w:val="single" w:sz="4" w:space="0" w:color="auto"/>
              <w:right w:val="single" w:sz="4" w:space="0" w:color="auto"/>
            </w:tcBorders>
            <w:noWrap/>
            <w:vAlign w:val="center"/>
          </w:tcPr>
          <w:p w14:paraId="68EA2A5E" w14:textId="77777777" w:rsidR="00277ABA" w:rsidRPr="007B364E" w:rsidRDefault="00277ABA" w:rsidP="00F25B02">
            <w:pPr>
              <w:spacing w:after="0" w:line="240" w:lineRule="auto"/>
              <w:jc w:val="center"/>
              <w:rPr>
                <w:rFonts w:ascii="Arial" w:eastAsia="Times New Roman" w:hAnsi="Arial" w:cs="Arial"/>
                <w:color w:val="000000" w:themeColor="text1"/>
                <w:sz w:val="16"/>
                <w:szCs w:val="16"/>
              </w:rPr>
            </w:pPr>
            <w:r w:rsidRPr="007B364E">
              <w:rPr>
                <w:rFonts w:ascii="Arial" w:hAnsi="Arial" w:cs="Arial"/>
                <w:sz w:val="16"/>
                <w:szCs w:val="16"/>
              </w:rPr>
              <w:t>2023ER272577</w:t>
            </w:r>
          </w:p>
        </w:tc>
        <w:tc>
          <w:tcPr>
            <w:tcW w:w="1276" w:type="dxa"/>
            <w:tcBorders>
              <w:top w:val="single" w:sz="4" w:space="0" w:color="auto"/>
              <w:left w:val="single" w:sz="4" w:space="0" w:color="auto"/>
              <w:bottom w:val="single" w:sz="4" w:space="0" w:color="auto"/>
              <w:right w:val="single" w:sz="4" w:space="0" w:color="auto"/>
            </w:tcBorders>
            <w:vAlign w:val="center"/>
          </w:tcPr>
          <w:p w14:paraId="7A68531A"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p>
          <w:p w14:paraId="0F490F6C"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xml:space="preserve">Carrera </w:t>
            </w:r>
            <w:r w:rsidRPr="007B364E">
              <w:rPr>
                <w:rFonts w:ascii="Arial" w:eastAsia="Times New Roman" w:hAnsi="Arial" w:cs="Arial"/>
                <w:color w:val="000000" w:themeColor="text1"/>
                <w:sz w:val="16"/>
                <w:szCs w:val="16"/>
              </w:rPr>
              <w:t xml:space="preserve">76 </w:t>
            </w:r>
            <w:r>
              <w:rPr>
                <w:rFonts w:ascii="Arial" w:eastAsia="Times New Roman" w:hAnsi="Arial" w:cs="Arial"/>
                <w:color w:val="000000" w:themeColor="text1"/>
                <w:sz w:val="16"/>
                <w:szCs w:val="16"/>
              </w:rPr>
              <w:t xml:space="preserve">No. </w:t>
            </w:r>
            <w:r w:rsidRPr="007B364E">
              <w:rPr>
                <w:rFonts w:ascii="Arial" w:eastAsia="Times New Roman" w:hAnsi="Arial" w:cs="Arial"/>
                <w:color w:val="000000" w:themeColor="text1"/>
                <w:sz w:val="16"/>
                <w:szCs w:val="16"/>
              </w:rPr>
              <w:t xml:space="preserve">75 B </w:t>
            </w:r>
            <w:r>
              <w:rPr>
                <w:rFonts w:ascii="Arial" w:eastAsia="Times New Roman" w:hAnsi="Arial" w:cs="Arial"/>
                <w:color w:val="000000" w:themeColor="text1"/>
                <w:sz w:val="16"/>
                <w:szCs w:val="16"/>
              </w:rPr>
              <w:t xml:space="preserve">- </w:t>
            </w:r>
            <w:r w:rsidRPr="007B364E">
              <w:rPr>
                <w:rFonts w:ascii="Arial" w:eastAsia="Times New Roman" w:hAnsi="Arial" w:cs="Arial"/>
                <w:color w:val="000000" w:themeColor="text1"/>
                <w:sz w:val="16"/>
                <w:szCs w:val="16"/>
              </w:rPr>
              <w:t>29</w:t>
            </w:r>
            <w:r w:rsidRPr="00D11BCE">
              <w:rPr>
                <w:rFonts w:ascii="Arial" w:eastAsia="Times New Roman" w:hAnsi="Arial" w:cs="Arial"/>
                <w:color w:val="000000" w:themeColor="text1"/>
                <w:sz w:val="16"/>
                <w:szCs w:val="16"/>
              </w:rPr>
              <w:t>, Localidad (1</w:t>
            </w:r>
            <w:r>
              <w:rPr>
                <w:rFonts w:ascii="Arial" w:eastAsia="Times New Roman" w:hAnsi="Arial" w:cs="Arial"/>
                <w:color w:val="000000" w:themeColor="text1"/>
                <w:sz w:val="16"/>
                <w:szCs w:val="16"/>
              </w:rPr>
              <w:t>0</w:t>
            </w:r>
            <w:r w:rsidRPr="00D11BCE">
              <w:rPr>
                <w:rFonts w:ascii="Arial" w:eastAsia="Times New Roman" w:hAnsi="Arial" w:cs="Arial"/>
                <w:color w:val="000000" w:themeColor="text1"/>
                <w:sz w:val="16"/>
                <w:szCs w:val="16"/>
              </w:rPr>
              <w:t xml:space="preserve">) </w:t>
            </w:r>
            <w:r w:rsidRPr="006838A0">
              <w:rPr>
                <w:rFonts w:ascii="Arial" w:eastAsia="Times New Roman" w:hAnsi="Arial" w:cs="Arial"/>
                <w:color w:val="000000" w:themeColor="text1"/>
                <w:sz w:val="16"/>
                <w:szCs w:val="16"/>
              </w:rPr>
              <w:t>Engativá</w:t>
            </w:r>
            <w:r w:rsidRPr="00D11BCE">
              <w:rPr>
                <w:rFonts w:ascii="Arial" w:eastAsia="Times New Roman" w:hAnsi="Arial" w:cs="Arial"/>
                <w:color w:val="000000" w:themeColor="text1"/>
                <w:sz w:val="16"/>
                <w:szCs w:val="16"/>
              </w:rPr>
              <w:t xml:space="preserve">. </w:t>
            </w:r>
          </w:p>
          <w:p w14:paraId="00E16932"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628D572A" w14:textId="77777777" w:rsidR="00277ABA" w:rsidRPr="007B364E" w:rsidRDefault="00277ABA" w:rsidP="00F25B02">
            <w:pPr>
              <w:spacing w:after="0" w:line="240" w:lineRule="auto"/>
              <w:jc w:val="center"/>
              <w:rPr>
                <w:rFonts w:ascii="Arial" w:eastAsia="Times New Roman" w:hAnsi="Arial" w:cs="Arial"/>
                <w:color w:val="000000" w:themeColor="text1"/>
                <w:sz w:val="16"/>
                <w:szCs w:val="16"/>
              </w:rPr>
            </w:pPr>
            <w:r w:rsidRPr="007B364E">
              <w:rPr>
                <w:rFonts w:ascii="Arial" w:hAnsi="Arial" w:cs="Arial"/>
                <w:sz w:val="16"/>
                <w:szCs w:val="16"/>
              </w:rPr>
              <w:t>SSFFS-00111 del 9 de enero 2024</w:t>
            </w:r>
          </w:p>
        </w:tc>
        <w:tc>
          <w:tcPr>
            <w:tcW w:w="1417" w:type="dxa"/>
            <w:tcBorders>
              <w:top w:val="single" w:sz="4" w:space="0" w:color="auto"/>
              <w:left w:val="single" w:sz="4" w:space="0" w:color="auto"/>
              <w:bottom w:val="single" w:sz="4" w:space="0" w:color="auto"/>
              <w:right w:val="single" w:sz="4" w:space="0" w:color="auto"/>
            </w:tcBorders>
            <w:vAlign w:val="center"/>
          </w:tcPr>
          <w:p w14:paraId="6355C258"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993" w:type="dxa"/>
            <w:tcBorders>
              <w:top w:val="single" w:sz="4" w:space="0" w:color="auto"/>
              <w:left w:val="single" w:sz="4" w:space="0" w:color="auto"/>
              <w:bottom w:val="single" w:sz="4" w:space="0" w:color="auto"/>
              <w:right w:val="single" w:sz="4" w:space="0" w:color="auto"/>
            </w:tcBorders>
            <w:vAlign w:val="center"/>
          </w:tcPr>
          <w:p w14:paraId="6C0D9856"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609A0A6F"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417" w:type="dxa"/>
            <w:tcBorders>
              <w:top w:val="single" w:sz="4" w:space="0" w:color="auto"/>
              <w:left w:val="single" w:sz="4" w:space="0" w:color="auto"/>
              <w:bottom w:val="single" w:sz="4" w:space="0" w:color="auto"/>
              <w:right w:val="single" w:sz="4" w:space="0" w:color="auto"/>
            </w:tcBorders>
            <w:vAlign w:val="center"/>
          </w:tcPr>
          <w:p w14:paraId="108F3372" w14:textId="77777777" w:rsidR="00277ABA" w:rsidRPr="007B364E" w:rsidRDefault="00277ABA" w:rsidP="00F25B02">
            <w:pPr>
              <w:spacing w:after="0" w:line="240" w:lineRule="auto"/>
              <w:jc w:val="center"/>
              <w:rPr>
                <w:rFonts w:ascii="Arial" w:eastAsia="Times New Roman" w:hAnsi="Arial" w:cs="Arial"/>
                <w:color w:val="000000" w:themeColor="text1"/>
                <w:sz w:val="16"/>
                <w:szCs w:val="16"/>
                <w:lang w:val="es-CO"/>
              </w:rPr>
            </w:pPr>
            <w:r w:rsidRPr="007B364E">
              <w:rPr>
                <w:rFonts w:ascii="Arial" w:hAnsi="Arial" w:cs="Arial"/>
                <w:sz w:val="16"/>
                <w:szCs w:val="16"/>
              </w:rPr>
              <w:t>Concepto Técnico No. 05525, del 10 de julio del 2025</w:t>
            </w:r>
          </w:p>
        </w:tc>
      </w:tr>
      <w:tr w:rsidR="00277ABA" w:rsidRPr="00D11BCE" w14:paraId="128623D4" w14:textId="77777777" w:rsidTr="00F25B02">
        <w:trPr>
          <w:trHeight w:val="489"/>
          <w:jc w:val="center"/>
        </w:trPr>
        <w:tc>
          <w:tcPr>
            <w:tcW w:w="430" w:type="dxa"/>
            <w:tcBorders>
              <w:top w:val="single" w:sz="4" w:space="0" w:color="auto"/>
              <w:left w:val="single" w:sz="4" w:space="0" w:color="auto"/>
              <w:bottom w:val="single" w:sz="4" w:space="0" w:color="auto"/>
              <w:right w:val="single" w:sz="4" w:space="0" w:color="auto"/>
            </w:tcBorders>
            <w:vAlign w:val="center"/>
          </w:tcPr>
          <w:p w14:paraId="28EBB6CD"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3</w:t>
            </w:r>
          </w:p>
        </w:tc>
        <w:tc>
          <w:tcPr>
            <w:tcW w:w="1271" w:type="dxa"/>
            <w:tcBorders>
              <w:top w:val="single" w:sz="4" w:space="0" w:color="auto"/>
              <w:left w:val="single" w:sz="4" w:space="0" w:color="auto"/>
              <w:bottom w:val="single" w:sz="4" w:space="0" w:color="auto"/>
              <w:right w:val="single" w:sz="4" w:space="0" w:color="auto"/>
            </w:tcBorders>
            <w:noWrap/>
            <w:vAlign w:val="center"/>
          </w:tcPr>
          <w:p w14:paraId="75D09C01" w14:textId="77777777" w:rsidR="00277ABA" w:rsidRPr="007B364E" w:rsidRDefault="00277ABA" w:rsidP="00F25B02">
            <w:pPr>
              <w:spacing w:after="0" w:line="240" w:lineRule="auto"/>
              <w:jc w:val="center"/>
              <w:rPr>
                <w:rFonts w:ascii="Arial" w:eastAsia="Times New Roman" w:hAnsi="Arial" w:cs="Arial"/>
                <w:color w:val="000000" w:themeColor="text1"/>
                <w:sz w:val="16"/>
                <w:szCs w:val="16"/>
              </w:rPr>
            </w:pPr>
            <w:r w:rsidRPr="007B364E">
              <w:rPr>
                <w:rFonts w:ascii="Arial" w:hAnsi="Arial" w:cs="Arial"/>
                <w:sz w:val="16"/>
                <w:szCs w:val="16"/>
              </w:rPr>
              <w:t>2023ER292147</w:t>
            </w:r>
          </w:p>
        </w:tc>
        <w:tc>
          <w:tcPr>
            <w:tcW w:w="1276" w:type="dxa"/>
            <w:tcBorders>
              <w:top w:val="single" w:sz="4" w:space="0" w:color="auto"/>
              <w:left w:val="single" w:sz="4" w:space="0" w:color="auto"/>
              <w:bottom w:val="single" w:sz="4" w:space="0" w:color="auto"/>
              <w:right w:val="single" w:sz="4" w:space="0" w:color="auto"/>
            </w:tcBorders>
            <w:vAlign w:val="center"/>
          </w:tcPr>
          <w:p w14:paraId="5EFDC1C8"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p>
          <w:p w14:paraId="47FFF364"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xml:space="preserve">Calle </w:t>
            </w:r>
            <w:r w:rsidRPr="007B364E">
              <w:rPr>
                <w:rFonts w:ascii="Arial" w:eastAsia="Times New Roman" w:hAnsi="Arial" w:cs="Arial"/>
                <w:color w:val="000000" w:themeColor="text1"/>
                <w:sz w:val="16"/>
                <w:szCs w:val="16"/>
              </w:rPr>
              <w:t>61 F</w:t>
            </w:r>
            <w:r>
              <w:rPr>
                <w:rFonts w:ascii="Arial" w:eastAsia="Times New Roman" w:hAnsi="Arial" w:cs="Arial"/>
                <w:color w:val="000000" w:themeColor="text1"/>
                <w:sz w:val="16"/>
                <w:szCs w:val="16"/>
              </w:rPr>
              <w:t xml:space="preserve"> No. </w:t>
            </w:r>
            <w:r w:rsidRPr="007B364E">
              <w:rPr>
                <w:rFonts w:ascii="Arial" w:eastAsia="Times New Roman" w:hAnsi="Arial" w:cs="Arial"/>
                <w:color w:val="000000" w:themeColor="text1"/>
                <w:sz w:val="16"/>
                <w:szCs w:val="16"/>
              </w:rPr>
              <w:t xml:space="preserve">26 </w:t>
            </w:r>
            <w:r>
              <w:rPr>
                <w:rFonts w:ascii="Arial" w:eastAsia="Times New Roman" w:hAnsi="Arial" w:cs="Arial"/>
                <w:color w:val="000000" w:themeColor="text1"/>
                <w:sz w:val="16"/>
                <w:szCs w:val="16"/>
              </w:rPr>
              <w:t xml:space="preserve">- </w:t>
            </w:r>
            <w:r w:rsidRPr="007B364E">
              <w:rPr>
                <w:rFonts w:ascii="Arial" w:eastAsia="Times New Roman" w:hAnsi="Arial" w:cs="Arial"/>
                <w:color w:val="000000" w:themeColor="text1"/>
                <w:sz w:val="16"/>
                <w:szCs w:val="16"/>
              </w:rPr>
              <w:t>62</w:t>
            </w:r>
            <w:r w:rsidRPr="00D11BCE">
              <w:rPr>
                <w:rFonts w:ascii="Arial" w:eastAsia="Times New Roman" w:hAnsi="Arial" w:cs="Arial"/>
                <w:color w:val="000000" w:themeColor="text1"/>
                <w:sz w:val="16"/>
                <w:szCs w:val="16"/>
              </w:rPr>
              <w:t>, Localidad (1</w:t>
            </w:r>
            <w:r>
              <w:rPr>
                <w:rFonts w:ascii="Arial" w:eastAsia="Times New Roman" w:hAnsi="Arial" w:cs="Arial"/>
                <w:color w:val="000000" w:themeColor="text1"/>
                <w:sz w:val="16"/>
                <w:szCs w:val="16"/>
              </w:rPr>
              <w:t>3</w:t>
            </w:r>
            <w:r w:rsidRPr="00D11BCE">
              <w:rPr>
                <w:rFonts w:ascii="Arial" w:eastAsia="Times New Roman" w:hAnsi="Arial" w:cs="Arial"/>
                <w:color w:val="000000" w:themeColor="text1"/>
                <w:sz w:val="16"/>
                <w:szCs w:val="16"/>
              </w:rPr>
              <w:t xml:space="preserve">) </w:t>
            </w:r>
            <w:r w:rsidRPr="007B364E">
              <w:rPr>
                <w:rFonts w:ascii="Arial" w:eastAsia="Times New Roman" w:hAnsi="Arial" w:cs="Arial"/>
                <w:color w:val="000000" w:themeColor="text1"/>
                <w:sz w:val="16"/>
                <w:szCs w:val="16"/>
              </w:rPr>
              <w:t>Teusaquillo</w:t>
            </w:r>
            <w:r w:rsidRPr="00D11BCE">
              <w:rPr>
                <w:rFonts w:ascii="Arial" w:eastAsia="Times New Roman" w:hAnsi="Arial" w:cs="Arial"/>
                <w:color w:val="000000" w:themeColor="text1"/>
                <w:sz w:val="16"/>
                <w:szCs w:val="16"/>
              </w:rPr>
              <w:t>.</w:t>
            </w:r>
          </w:p>
          <w:p w14:paraId="41292615"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62A6DCE7" w14:textId="77777777" w:rsidR="00277ABA" w:rsidRPr="007B364E" w:rsidRDefault="00277ABA" w:rsidP="00F25B02">
            <w:pPr>
              <w:spacing w:after="0" w:line="240" w:lineRule="auto"/>
              <w:jc w:val="center"/>
              <w:rPr>
                <w:rFonts w:ascii="Arial" w:eastAsia="Times New Roman" w:hAnsi="Arial" w:cs="Arial"/>
                <w:color w:val="000000" w:themeColor="text1"/>
                <w:sz w:val="16"/>
                <w:szCs w:val="16"/>
              </w:rPr>
            </w:pPr>
            <w:r w:rsidRPr="007B364E">
              <w:rPr>
                <w:rFonts w:ascii="Arial" w:hAnsi="Arial" w:cs="Arial"/>
                <w:sz w:val="16"/>
                <w:szCs w:val="16"/>
              </w:rPr>
              <w:t>SSFFS-00363 del 12 de enero 2024</w:t>
            </w:r>
          </w:p>
        </w:tc>
        <w:tc>
          <w:tcPr>
            <w:tcW w:w="1417" w:type="dxa"/>
            <w:tcBorders>
              <w:top w:val="single" w:sz="4" w:space="0" w:color="auto"/>
              <w:left w:val="single" w:sz="4" w:space="0" w:color="auto"/>
              <w:bottom w:val="single" w:sz="4" w:space="0" w:color="auto"/>
              <w:right w:val="single" w:sz="4" w:space="0" w:color="auto"/>
            </w:tcBorders>
            <w:vAlign w:val="center"/>
          </w:tcPr>
          <w:p w14:paraId="36756BA0"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993" w:type="dxa"/>
            <w:tcBorders>
              <w:top w:val="single" w:sz="4" w:space="0" w:color="auto"/>
              <w:left w:val="single" w:sz="4" w:space="0" w:color="auto"/>
              <w:bottom w:val="single" w:sz="4" w:space="0" w:color="auto"/>
              <w:right w:val="single" w:sz="4" w:space="0" w:color="auto"/>
            </w:tcBorders>
            <w:vAlign w:val="center"/>
          </w:tcPr>
          <w:p w14:paraId="51AEAD92"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354588B7" w14:textId="77777777" w:rsidR="00277ABA" w:rsidRPr="00D11BCE" w:rsidRDefault="00277ABA"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417" w:type="dxa"/>
            <w:tcBorders>
              <w:top w:val="single" w:sz="4" w:space="0" w:color="auto"/>
              <w:left w:val="single" w:sz="4" w:space="0" w:color="auto"/>
              <w:bottom w:val="single" w:sz="4" w:space="0" w:color="auto"/>
              <w:right w:val="single" w:sz="4" w:space="0" w:color="auto"/>
            </w:tcBorders>
            <w:vAlign w:val="center"/>
          </w:tcPr>
          <w:p w14:paraId="479AA3AE" w14:textId="77777777" w:rsidR="00277ABA" w:rsidRPr="007B364E" w:rsidRDefault="00277ABA" w:rsidP="00F25B02">
            <w:pPr>
              <w:spacing w:after="0" w:line="240" w:lineRule="auto"/>
              <w:jc w:val="center"/>
              <w:rPr>
                <w:rFonts w:ascii="Arial" w:eastAsia="Times New Roman" w:hAnsi="Arial" w:cs="Arial"/>
                <w:color w:val="000000" w:themeColor="text1"/>
                <w:sz w:val="16"/>
                <w:szCs w:val="16"/>
                <w:lang w:val="es-CO"/>
              </w:rPr>
            </w:pPr>
            <w:r w:rsidRPr="007B364E">
              <w:rPr>
                <w:rFonts w:ascii="Arial" w:hAnsi="Arial" w:cs="Arial"/>
                <w:sz w:val="16"/>
                <w:szCs w:val="16"/>
              </w:rPr>
              <w:t>Concepto Técnico No. 03508, del 01 de junio del 2025</w:t>
            </w:r>
          </w:p>
        </w:tc>
      </w:tr>
    </w:tbl>
    <w:p w14:paraId="45A43669" w14:textId="77777777" w:rsidR="00277ABA" w:rsidRDefault="00277ABA" w:rsidP="00277ABA">
      <w:pPr>
        <w:pStyle w:val="Ttulo4"/>
        <w:spacing w:before="0" w:after="0" w:line="276" w:lineRule="auto"/>
        <w:ind w:right="48"/>
        <w:jc w:val="both"/>
        <w:rPr>
          <w:rFonts w:ascii="Arial" w:hAnsi="Arial" w:cs="Arial"/>
          <w:b/>
          <w:bCs/>
          <w:color w:val="auto"/>
          <w:sz w:val="22"/>
          <w:szCs w:val="22"/>
        </w:rPr>
      </w:pPr>
    </w:p>
    <w:p w14:paraId="47C8273F" w14:textId="77777777" w:rsidR="00277ABA" w:rsidRPr="00A42212" w:rsidRDefault="00277ABA" w:rsidP="00277ABA">
      <w:pPr>
        <w:pStyle w:val="Ttulo4"/>
        <w:spacing w:before="0" w:after="0" w:line="276" w:lineRule="auto"/>
        <w:ind w:right="48"/>
        <w:jc w:val="both"/>
        <w:rPr>
          <w:rFonts w:ascii="Arial" w:hAnsi="Arial" w:cs="Arial"/>
          <w:b/>
          <w:bCs/>
          <w:color w:val="auto"/>
          <w:sz w:val="22"/>
          <w:szCs w:val="22"/>
        </w:rPr>
      </w:pPr>
      <w:r w:rsidRPr="00A42212">
        <w:rPr>
          <w:rFonts w:ascii="Arial" w:hAnsi="Arial" w:cs="Arial"/>
          <w:b/>
          <w:bCs/>
          <w:color w:val="auto"/>
          <w:sz w:val="22"/>
          <w:szCs w:val="22"/>
        </w:rPr>
        <w:t>CONSIDERACIONES JURÍDICAS</w:t>
      </w:r>
    </w:p>
    <w:p w14:paraId="64967234" w14:textId="77777777" w:rsidR="00277ABA" w:rsidRPr="00D11BCE" w:rsidRDefault="00277ABA" w:rsidP="00277ABA">
      <w:pPr>
        <w:spacing w:after="0"/>
        <w:ind w:right="48"/>
        <w:jc w:val="both"/>
        <w:rPr>
          <w:rFonts w:ascii="Arial" w:eastAsiaTheme="minorHAnsi" w:hAnsi="Arial" w:cs="Arial"/>
          <w:lang w:val="es-CO"/>
        </w:rPr>
      </w:pPr>
    </w:p>
    <w:p w14:paraId="7AA81851" w14:textId="77777777" w:rsidR="00277ABA" w:rsidRPr="00D11BCE" w:rsidRDefault="00277ABA" w:rsidP="00277ABA">
      <w:pPr>
        <w:spacing w:after="0"/>
        <w:ind w:right="48"/>
        <w:jc w:val="both"/>
        <w:rPr>
          <w:rFonts w:ascii="Arial" w:eastAsiaTheme="minorHAnsi" w:hAnsi="Arial" w:cs="Arial"/>
          <w:i/>
          <w:lang w:val="es-CO"/>
        </w:rPr>
      </w:pPr>
      <w:r w:rsidRPr="00D11BCE">
        <w:rPr>
          <w:rFonts w:ascii="Arial" w:eastAsiaTheme="minorHAnsi" w:hAnsi="Arial" w:cs="Arial"/>
          <w:lang w:val="es-CO"/>
        </w:rPr>
        <w:t>Que la Constitución Política de Colombia en el Capítulo V de la función administrativa, artículo 209, señala: “</w:t>
      </w:r>
      <w:r w:rsidRPr="00A42212">
        <w:rPr>
          <w:rFonts w:ascii="Arial" w:eastAsiaTheme="minorHAnsi" w:hAnsi="Arial" w:cs="Arial"/>
          <w:i/>
          <w:sz w:val="20"/>
          <w:szCs w:val="20"/>
          <w:lang w:val="es-CO"/>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r w:rsidRPr="00D11BCE">
        <w:rPr>
          <w:rFonts w:ascii="Arial" w:eastAsiaTheme="minorHAnsi" w:hAnsi="Arial" w:cs="Arial"/>
          <w:i/>
          <w:lang w:val="es-CO"/>
        </w:rPr>
        <w:t>”.</w:t>
      </w:r>
    </w:p>
    <w:p w14:paraId="1DB9DD0E" w14:textId="77777777" w:rsidR="00277ABA" w:rsidRPr="00D11BCE" w:rsidRDefault="00277ABA" w:rsidP="00277ABA">
      <w:pPr>
        <w:spacing w:after="0"/>
        <w:ind w:right="48"/>
        <w:jc w:val="both"/>
        <w:rPr>
          <w:rFonts w:ascii="Arial" w:eastAsiaTheme="minorHAnsi" w:hAnsi="Arial" w:cs="Arial"/>
          <w:i/>
          <w:lang w:val="es-CO"/>
        </w:rPr>
      </w:pPr>
    </w:p>
    <w:p w14:paraId="7E621ED9" w14:textId="77777777" w:rsidR="00277ABA" w:rsidRPr="00D11BCE" w:rsidRDefault="00277ABA" w:rsidP="00277ABA">
      <w:pPr>
        <w:spacing w:after="0"/>
        <w:ind w:right="48"/>
        <w:jc w:val="both"/>
        <w:rPr>
          <w:rFonts w:ascii="Arial" w:hAnsi="Arial" w:cs="Arial"/>
        </w:rPr>
      </w:pPr>
      <w:r w:rsidRPr="00D11BCE">
        <w:rPr>
          <w:rFonts w:ascii="Arial" w:hAnsi="Arial" w:cs="Arial"/>
        </w:rPr>
        <w:t>Que el artículo 31 de la Ley 99 de 1993, contempla lo relacionado con las funciones de las Corporaciones Autónomas Regionales, indicando entre ellas: “</w:t>
      </w:r>
      <w:r w:rsidRPr="00A42212">
        <w:rPr>
          <w:rFonts w:ascii="Arial" w:hAnsi="Arial" w:cs="Arial"/>
          <w:i/>
          <w:iCs/>
          <w:sz w:val="20"/>
          <w:szCs w:val="20"/>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w:t>
      </w:r>
      <w:r w:rsidRPr="00D11BCE">
        <w:rPr>
          <w:rFonts w:ascii="Arial" w:hAnsi="Arial" w:cs="Arial"/>
          <w:i/>
          <w:iCs/>
        </w:rPr>
        <w:t xml:space="preserve"> […]</w:t>
      </w:r>
      <w:r w:rsidRPr="00D11BCE">
        <w:rPr>
          <w:rFonts w:ascii="Arial" w:hAnsi="Arial" w:cs="Arial"/>
        </w:rPr>
        <w:t>”, concordante con el artículo 65 que establece las atribuciones para el Distrito Capital.</w:t>
      </w:r>
    </w:p>
    <w:p w14:paraId="154676F3" w14:textId="77777777" w:rsidR="00277ABA" w:rsidRPr="00D11BCE" w:rsidRDefault="00277ABA" w:rsidP="00277ABA">
      <w:pPr>
        <w:spacing w:after="0"/>
        <w:ind w:right="48"/>
        <w:jc w:val="both"/>
        <w:rPr>
          <w:rFonts w:ascii="Arial" w:eastAsiaTheme="minorHAnsi" w:hAnsi="Arial" w:cs="Arial"/>
          <w:bCs/>
          <w:lang w:val="es-CO"/>
        </w:rPr>
      </w:pPr>
    </w:p>
    <w:p w14:paraId="4B4E1587" w14:textId="77777777" w:rsidR="00277ABA" w:rsidRPr="00D11BCE" w:rsidRDefault="00277ABA" w:rsidP="00277ABA">
      <w:pPr>
        <w:spacing w:after="0"/>
        <w:ind w:right="48"/>
        <w:jc w:val="both"/>
        <w:rPr>
          <w:rFonts w:ascii="Arial" w:eastAsia="Times New Roman" w:hAnsi="Arial" w:cs="Arial"/>
          <w:bCs/>
          <w:lang w:eastAsia="es-CO"/>
        </w:rPr>
      </w:pPr>
      <w:r w:rsidRPr="00D11BCE">
        <w:rPr>
          <w:rFonts w:ascii="Arial" w:hAnsi="Arial" w:cs="Arial"/>
          <w:bCs/>
        </w:rPr>
        <w:t>Que la competencia como autoridad ambiental atribuida a la Secretaría Distrital de Ambiente, se enmarca en el artículo 66 de la Ley 99 de 1993, el cual señaló las competencias de los grandes centros urbanos de la siguiente manera:</w:t>
      </w:r>
      <w:r w:rsidRPr="00D11BCE">
        <w:rPr>
          <w:rFonts w:ascii="Arial" w:eastAsia="Times New Roman" w:hAnsi="Arial" w:cs="Arial"/>
          <w:bCs/>
          <w:lang w:eastAsia="es-CO"/>
        </w:rPr>
        <w:t xml:space="preserve"> </w:t>
      </w:r>
    </w:p>
    <w:p w14:paraId="0D9CC04D" w14:textId="77777777" w:rsidR="00277ABA" w:rsidRPr="00D11BCE" w:rsidRDefault="00277ABA" w:rsidP="00277ABA">
      <w:pPr>
        <w:spacing w:after="0"/>
        <w:ind w:right="48"/>
        <w:jc w:val="both"/>
        <w:rPr>
          <w:rFonts w:ascii="Arial" w:eastAsia="Times New Roman" w:hAnsi="Arial" w:cs="Arial"/>
          <w:bCs/>
          <w:lang w:eastAsia="es-CO"/>
        </w:rPr>
      </w:pPr>
    </w:p>
    <w:p w14:paraId="5189FECC" w14:textId="77777777" w:rsidR="00277ABA" w:rsidRPr="00A42212" w:rsidRDefault="00277ABA" w:rsidP="00277ABA">
      <w:pPr>
        <w:spacing w:after="0"/>
        <w:ind w:left="567" w:right="567"/>
        <w:jc w:val="both"/>
        <w:rPr>
          <w:rFonts w:ascii="Arial" w:hAnsi="Arial" w:cs="Arial"/>
          <w:i/>
          <w:iCs/>
          <w:sz w:val="20"/>
          <w:szCs w:val="20"/>
        </w:rPr>
      </w:pPr>
      <w:r w:rsidRPr="00A42212">
        <w:rPr>
          <w:rFonts w:ascii="Arial" w:hAnsi="Arial" w:cs="Arial"/>
          <w:b/>
          <w:i/>
          <w:iCs/>
          <w:sz w:val="20"/>
          <w:szCs w:val="20"/>
        </w:rPr>
        <w:t>“</w:t>
      </w:r>
      <w:r w:rsidRPr="00A42212">
        <w:rPr>
          <w:rFonts w:ascii="Arial" w:hAnsi="Arial" w:cs="Arial"/>
          <w:i/>
          <w:iCs/>
          <w:sz w:val="20"/>
          <w:szCs w:val="20"/>
        </w:rPr>
        <w:t>Artículo 66. Competencias de Grandes Centros Urbanos</w:t>
      </w:r>
      <w:r w:rsidRPr="00A42212">
        <w:rPr>
          <w:rFonts w:ascii="Arial" w:hAnsi="Arial" w:cs="Arial"/>
          <w:bCs/>
          <w:i/>
          <w:iCs/>
          <w:sz w:val="20"/>
          <w:szCs w:val="20"/>
        </w:rPr>
        <w:t>.</w:t>
      </w:r>
      <w:r w:rsidRPr="00A42212">
        <w:rPr>
          <w:rFonts w:ascii="Arial" w:hAnsi="Arial" w:cs="Arial"/>
          <w:i/>
          <w:iCs/>
          <w:sz w:val="20"/>
          <w:szCs w:val="20"/>
        </w:rPr>
        <w:t xml:space="preserve"> </w:t>
      </w:r>
      <w:r w:rsidRPr="00A42212">
        <w:rPr>
          <w:rFonts w:ascii="Arial" w:hAnsi="Arial" w:cs="Arial"/>
          <w:i/>
          <w:iCs/>
          <w:sz w:val="20"/>
          <w:szCs w:val="20"/>
          <w:u w:val="single"/>
          <w:shd w:val="clear" w:color="auto" w:fill="FFFFFF"/>
        </w:rPr>
        <w:t>Modificado por el art. 214, Decreto Nacional 1450 de 2011</w:t>
      </w:r>
      <w:r w:rsidRPr="00A42212">
        <w:rPr>
          <w:rFonts w:ascii="Arial" w:hAnsi="Arial" w:cs="Arial"/>
          <w:i/>
          <w:iCs/>
          <w:sz w:val="20"/>
          <w:szCs w:val="20"/>
          <w:shd w:val="clear" w:color="auto" w:fill="FFFFFF"/>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Además de las licencias ambientales, concesiones, permisos y autorizaciones que les corresponda otorgar para el ejercicio de actividades o la ejecución de obras dentro del territorio de su jurisdicción, las autoridades municipales, distritales o metropolitanas tendrán la responsabilidad de efectuar el control de vertimientos y emisiones contaminantes, disposición de desechos sólidos y de residuos tóxicos y peligrosos, dictar las medidas de corrección o mitigación de daños ambientales y adelantar proyectos de saneamiento y descontaminación.</w:t>
      </w:r>
      <w:r w:rsidRPr="00A42212">
        <w:rPr>
          <w:rFonts w:ascii="Arial" w:hAnsi="Arial" w:cs="Arial"/>
          <w:i/>
          <w:iCs/>
          <w:sz w:val="20"/>
          <w:szCs w:val="20"/>
        </w:rPr>
        <w:t xml:space="preserve"> […]</w:t>
      </w:r>
      <w:r w:rsidRPr="00A42212">
        <w:rPr>
          <w:rFonts w:ascii="Arial" w:hAnsi="Arial" w:cs="Arial"/>
          <w:i/>
          <w:iCs/>
          <w:sz w:val="20"/>
          <w:szCs w:val="20"/>
          <w:shd w:val="clear" w:color="auto" w:fill="FFFFFF"/>
        </w:rPr>
        <w:t>”</w:t>
      </w:r>
      <w:r w:rsidRPr="00A42212">
        <w:rPr>
          <w:rFonts w:ascii="Arial" w:hAnsi="Arial" w:cs="Arial"/>
          <w:i/>
          <w:iCs/>
          <w:sz w:val="20"/>
          <w:szCs w:val="20"/>
        </w:rPr>
        <w:t xml:space="preserve"> </w:t>
      </w:r>
    </w:p>
    <w:p w14:paraId="3600B41F" w14:textId="77777777" w:rsidR="00277ABA" w:rsidRPr="00A92FB2" w:rsidRDefault="00277ABA" w:rsidP="00277ABA">
      <w:pPr>
        <w:spacing w:after="0"/>
        <w:ind w:right="48"/>
        <w:jc w:val="both"/>
        <w:rPr>
          <w:rFonts w:ascii="Arial" w:eastAsiaTheme="minorHAnsi" w:hAnsi="Arial" w:cs="Arial"/>
          <w:i/>
          <w:lang w:val="es-CO"/>
        </w:rPr>
      </w:pPr>
    </w:p>
    <w:p w14:paraId="540AE533" w14:textId="77777777" w:rsidR="00277ABA" w:rsidRPr="00A92FB2" w:rsidRDefault="00277ABA" w:rsidP="00277ABA">
      <w:pPr>
        <w:spacing w:after="0"/>
        <w:ind w:right="48"/>
        <w:jc w:val="both"/>
        <w:rPr>
          <w:rFonts w:ascii="Arial" w:hAnsi="Arial" w:cs="Arial"/>
        </w:rPr>
      </w:pPr>
      <w:r w:rsidRPr="00A92FB2">
        <w:rPr>
          <w:rFonts w:ascii="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4107AA7F" w14:textId="77777777" w:rsidR="00277ABA" w:rsidRPr="00A92FB2" w:rsidRDefault="00277ABA" w:rsidP="00277ABA">
      <w:pPr>
        <w:spacing w:after="0"/>
        <w:ind w:right="48"/>
        <w:jc w:val="both"/>
        <w:rPr>
          <w:rFonts w:ascii="Arial" w:hAnsi="Arial" w:cs="Arial"/>
        </w:rPr>
      </w:pPr>
    </w:p>
    <w:p w14:paraId="5E24A33A" w14:textId="77777777" w:rsidR="00277ABA" w:rsidRPr="00A42212" w:rsidRDefault="00277ABA" w:rsidP="00277ABA">
      <w:pPr>
        <w:spacing w:after="0"/>
        <w:ind w:left="567" w:right="567"/>
        <w:jc w:val="both"/>
        <w:rPr>
          <w:rFonts w:ascii="Arial" w:hAnsi="Arial" w:cs="Arial"/>
          <w:i/>
          <w:sz w:val="20"/>
          <w:szCs w:val="20"/>
        </w:rPr>
      </w:pPr>
      <w:r w:rsidRPr="00A92FB2">
        <w:rPr>
          <w:rFonts w:ascii="Arial" w:hAnsi="Arial" w:cs="Arial"/>
          <w:i/>
        </w:rPr>
        <w:t>“</w:t>
      </w:r>
      <w:r w:rsidRPr="00A42212">
        <w:rPr>
          <w:rFonts w:ascii="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3E96C0C9" w14:textId="77777777" w:rsidR="00277ABA" w:rsidRPr="00A42212" w:rsidRDefault="00277ABA" w:rsidP="00277ABA">
      <w:pPr>
        <w:spacing w:after="0"/>
        <w:ind w:left="567" w:right="567"/>
        <w:jc w:val="both"/>
        <w:rPr>
          <w:rFonts w:ascii="Arial" w:hAnsi="Arial" w:cs="Arial"/>
          <w:i/>
          <w:sz w:val="20"/>
          <w:szCs w:val="20"/>
        </w:rPr>
      </w:pPr>
    </w:p>
    <w:p w14:paraId="386EBB42" w14:textId="77777777" w:rsidR="00277ABA" w:rsidRPr="00A42212" w:rsidRDefault="00277ABA" w:rsidP="00277ABA">
      <w:pPr>
        <w:spacing w:after="0"/>
        <w:ind w:left="567" w:right="567"/>
        <w:jc w:val="both"/>
        <w:rPr>
          <w:rFonts w:ascii="Arial" w:hAnsi="Arial" w:cs="Arial"/>
          <w:i/>
          <w:sz w:val="20"/>
          <w:szCs w:val="20"/>
        </w:rPr>
      </w:pPr>
      <w:r w:rsidRPr="00A42212">
        <w:rPr>
          <w:rFonts w:ascii="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B129D75" w14:textId="77777777" w:rsidR="00277ABA" w:rsidRPr="00A42212" w:rsidRDefault="00277ABA" w:rsidP="00277ABA">
      <w:pPr>
        <w:spacing w:after="0"/>
        <w:ind w:left="567" w:right="567"/>
        <w:jc w:val="both"/>
        <w:rPr>
          <w:rFonts w:ascii="Arial" w:hAnsi="Arial" w:cs="Arial"/>
          <w:i/>
          <w:sz w:val="20"/>
          <w:szCs w:val="20"/>
        </w:rPr>
      </w:pPr>
    </w:p>
    <w:p w14:paraId="642F5A1C" w14:textId="77777777" w:rsidR="00277ABA" w:rsidRPr="00A42212" w:rsidRDefault="00277ABA" w:rsidP="00277ABA">
      <w:pPr>
        <w:spacing w:after="0"/>
        <w:ind w:left="567" w:right="567"/>
        <w:jc w:val="both"/>
        <w:rPr>
          <w:rFonts w:ascii="Arial" w:hAnsi="Arial" w:cs="Arial"/>
          <w:i/>
          <w:iCs/>
          <w:sz w:val="20"/>
          <w:szCs w:val="20"/>
        </w:rPr>
      </w:pPr>
      <w:r w:rsidRPr="00A42212">
        <w:rPr>
          <w:rFonts w:ascii="Arial" w:hAnsi="Arial" w:cs="Arial"/>
          <w:i/>
          <w:iCs/>
          <w:sz w:val="20"/>
          <w:szCs w:val="20"/>
        </w:rPr>
        <w:t>[…]</w:t>
      </w:r>
    </w:p>
    <w:p w14:paraId="07A0BE64" w14:textId="77777777" w:rsidR="00277ABA" w:rsidRPr="00A42212" w:rsidRDefault="00277ABA" w:rsidP="00277ABA">
      <w:pPr>
        <w:spacing w:after="0"/>
        <w:ind w:left="567" w:right="567"/>
        <w:jc w:val="both"/>
        <w:rPr>
          <w:rFonts w:ascii="Arial" w:hAnsi="Arial" w:cs="Arial"/>
          <w:i/>
          <w:iCs/>
          <w:sz w:val="20"/>
          <w:szCs w:val="20"/>
        </w:rPr>
      </w:pPr>
    </w:p>
    <w:p w14:paraId="3CB4AA1E" w14:textId="77777777" w:rsidR="00277ABA" w:rsidRPr="00A42212" w:rsidRDefault="00277ABA" w:rsidP="00277ABA">
      <w:pPr>
        <w:spacing w:after="0"/>
        <w:ind w:left="567" w:right="567"/>
        <w:jc w:val="both"/>
        <w:rPr>
          <w:rFonts w:ascii="Arial" w:hAnsi="Arial" w:cs="Arial"/>
          <w:i/>
          <w:sz w:val="20"/>
          <w:szCs w:val="20"/>
        </w:rPr>
      </w:pPr>
      <w:r w:rsidRPr="00A42212">
        <w:rPr>
          <w:rFonts w:ascii="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79EF05AE" w14:textId="77777777" w:rsidR="00277ABA" w:rsidRPr="00A92FB2" w:rsidRDefault="00277ABA" w:rsidP="00277ABA">
      <w:pPr>
        <w:spacing w:after="0"/>
        <w:ind w:right="48"/>
        <w:jc w:val="both"/>
        <w:rPr>
          <w:rFonts w:ascii="Arial" w:hAnsi="Arial" w:cs="Arial"/>
          <w:i/>
        </w:rPr>
      </w:pPr>
    </w:p>
    <w:p w14:paraId="61B9DAAC" w14:textId="77777777" w:rsidR="00277ABA" w:rsidRPr="00A92FB2" w:rsidRDefault="00277ABA" w:rsidP="00277ABA">
      <w:pPr>
        <w:spacing w:after="0"/>
        <w:ind w:right="48"/>
        <w:jc w:val="both"/>
        <w:rPr>
          <w:rFonts w:ascii="Arial" w:hAnsi="Arial" w:cs="Arial"/>
        </w:rPr>
      </w:pPr>
    </w:p>
    <w:p w14:paraId="3206D911" w14:textId="77777777" w:rsidR="00277ABA" w:rsidRPr="00A92FB2" w:rsidRDefault="00277ABA" w:rsidP="00277ABA">
      <w:pPr>
        <w:spacing w:after="0"/>
        <w:ind w:right="48"/>
        <w:jc w:val="both"/>
        <w:rPr>
          <w:rFonts w:ascii="Arial" w:hAnsi="Arial" w:cs="Arial"/>
        </w:rPr>
      </w:pPr>
      <w:r w:rsidRPr="00A92FB2">
        <w:rPr>
          <w:rFonts w:ascii="Arial" w:hAnsi="Arial" w:cs="Arial"/>
        </w:rPr>
        <w:t xml:space="preserve">Que, el artículo 3 del Código de Procedimiento Administrativo y de lo Contencioso Administrativo, - Ley 1437 de 2011 modificada por la Ley 2080 del 2021, dispone: </w:t>
      </w:r>
    </w:p>
    <w:p w14:paraId="4BC2402F" w14:textId="77777777" w:rsidR="00277ABA" w:rsidRPr="00A92FB2" w:rsidRDefault="00277ABA" w:rsidP="00277ABA">
      <w:pPr>
        <w:spacing w:after="0"/>
        <w:ind w:right="48"/>
        <w:jc w:val="both"/>
        <w:rPr>
          <w:rFonts w:ascii="Arial" w:hAnsi="Arial" w:cs="Arial"/>
        </w:rPr>
      </w:pPr>
    </w:p>
    <w:p w14:paraId="76253133" w14:textId="77777777" w:rsidR="00277ABA" w:rsidRPr="00A92FB2" w:rsidRDefault="00277ABA" w:rsidP="00277ABA">
      <w:pPr>
        <w:spacing w:after="0"/>
        <w:ind w:left="567" w:right="567"/>
        <w:jc w:val="both"/>
        <w:rPr>
          <w:rFonts w:ascii="Arial" w:hAnsi="Arial" w:cs="Arial"/>
          <w:i/>
          <w:iCs/>
        </w:rPr>
      </w:pPr>
      <w:r w:rsidRPr="00A92FB2">
        <w:rPr>
          <w:rFonts w:ascii="Arial" w:hAnsi="Arial" w:cs="Arial"/>
          <w:i/>
          <w:iCs/>
        </w:rPr>
        <w:t>[…]</w:t>
      </w:r>
    </w:p>
    <w:p w14:paraId="0BDD6179" w14:textId="77777777" w:rsidR="00277ABA" w:rsidRPr="00A92FB2" w:rsidRDefault="00277ABA" w:rsidP="00277ABA">
      <w:pPr>
        <w:spacing w:after="0"/>
        <w:ind w:left="567" w:right="567"/>
        <w:jc w:val="both"/>
        <w:rPr>
          <w:rFonts w:ascii="Arial" w:hAnsi="Arial" w:cs="Arial"/>
          <w:i/>
        </w:rPr>
      </w:pPr>
    </w:p>
    <w:p w14:paraId="46F120D2" w14:textId="77777777" w:rsidR="00277ABA" w:rsidRPr="00A42212" w:rsidRDefault="00277ABA" w:rsidP="00277ABA">
      <w:pPr>
        <w:spacing w:after="0"/>
        <w:ind w:left="567" w:right="567"/>
        <w:jc w:val="both"/>
        <w:rPr>
          <w:rFonts w:ascii="Arial" w:hAnsi="Arial" w:cs="Arial"/>
          <w:i/>
          <w:sz w:val="20"/>
          <w:szCs w:val="20"/>
        </w:rPr>
      </w:pPr>
      <w:r w:rsidRPr="00A42212">
        <w:rPr>
          <w:rFonts w:ascii="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2B84E52B" w14:textId="77777777" w:rsidR="00277ABA" w:rsidRPr="00A42212" w:rsidRDefault="00277ABA" w:rsidP="00277ABA">
      <w:pPr>
        <w:spacing w:after="0"/>
        <w:ind w:left="567" w:right="567"/>
        <w:jc w:val="both"/>
        <w:rPr>
          <w:rFonts w:ascii="Arial" w:hAnsi="Arial" w:cs="Arial"/>
          <w:i/>
          <w:iCs/>
          <w:sz w:val="20"/>
          <w:szCs w:val="20"/>
        </w:rPr>
      </w:pPr>
    </w:p>
    <w:p w14:paraId="24586409" w14:textId="77777777" w:rsidR="00277ABA" w:rsidRPr="00A42212" w:rsidRDefault="00277ABA" w:rsidP="00277ABA">
      <w:pPr>
        <w:spacing w:after="0"/>
        <w:ind w:left="567" w:right="567"/>
        <w:jc w:val="both"/>
        <w:rPr>
          <w:rFonts w:ascii="Arial" w:hAnsi="Arial" w:cs="Arial"/>
          <w:i/>
          <w:sz w:val="20"/>
          <w:szCs w:val="20"/>
        </w:rPr>
      </w:pPr>
      <w:r w:rsidRPr="00A42212">
        <w:rPr>
          <w:rFonts w:ascii="Arial" w:hAnsi="Arial" w:cs="Arial"/>
          <w:i/>
          <w:iCs/>
          <w:sz w:val="20"/>
          <w:szCs w:val="20"/>
        </w:rPr>
        <w:t>[…]</w:t>
      </w:r>
      <w:r w:rsidRPr="00A42212">
        <w:rPr>
          <w:rFonts w:ascii="Arial" w:hAnsi="Arial" w:cs="Arial"/>
          <w:i/>
          <w:sz w:val="20"/>
          <w:szCs w:val="20"/>
        </w:rPr>
        <w:t xml:space="preserve"> </w:t>
      </w:r>
    </w:p>
    <w:p w14:paraId="6E0276B2" w14:textId="77777777" w:rsidR="00277ABA" w:rsidRPr="00A42212" w:rsidRDefault="00277ABA" w:rsidP="00277ABA">
      <w:pPr>
        <w:spacing w:after="0"/>
        <w:ind w:left="567" w:right="567"/>
        <w:jc w:val="both"/>
        <w:rPr>
          <w:rFonts w:ascii="Arial" w:hAnsi="Arial" w:cs="Arial"/>
          <w:i/>
          <w:sz w:val="20"/>
          <w:szCs w:val="20"/>
        </w:rPr>
      </w:pPr>
    </w:p>
    <w:p w14:paraId="6F908B2A" w14:textId="77777777" w:rsidR="00277ABA" w:rsidRPr="00A42212" w:rsidRDefault="00277ABA" w:rsidP="00277ABA">
      <w:pPr>
        <w:spacing w:after="0"/>
        <w:ind w:left="567" w:right="567"/>
        <w:jc w:val="both"/>
        <w:rPr>
          <w:rFonts w:ascii="Arial" w:hAnsi="Arial" w:cs="Arial"/>
          <w:i/>
          <w:sz w:val="20"/>
          <w:szCs w:val="20"/>
        </w:rPr>
      </w:pPr>
      <w:r w:rsidRPr="00A42212">
        <w:rPr>
          <w:rFonts w:ascii="Arial" w:hAnsi="Arial" w:cs="Arial"/>
          <w:i/>
          <w:sz w:val="20"/>
          <w:szCs w:val="20"/>
        </w:rPr>
        <w:t>11. En virtud del principio de eficacia, las autoridades buscarán que los procedimientos logren su finalidad y, para el efecto, removerán de oficio los obstáculos puramente formales, evitarán decisiones inhibitorias, dilaciones o retardos y sanearán, de acuerdo con este Código las irregularidades procedimentales que se presenten, en procura de la efectividad del derecho material objeto de la actuación administrativa.</w:t>
      </w:r>
    </w:p>
    <w:p w14:paraId="1737B7E1" w14:textId="77777777" w:rsidR="00277ABA" w:rsidRPr="00A42212" w:rsidRDefault="00277ABA" w:rsidP="00277ABA">
      <w:pPr>
        <w:spacing w:after="0"/>
        <w:ind w:left="567" w:right="567"/>
        <w:jc w:val="both"/>
        <w:rPr>
          <w:rFonts w:ascii="Arial" w:hAnsi="Arial" w:cs="Arial"/>
          <w:i/>
          <w:sz w:val="20"/>
          <w:szCs w:val="20"/>
        </w:rPr>
      </w:pPr>
    </w:p>
    <w:p w14:paraId="4F9602B0" w14:textId="77777777" w:rsidR="00277ABA" w:rsidRPr="00A42212" w:rsidRDefault="00277ABA" w:rsidP="00277ABA">
      <w:pPr>
        <w:spacing w:after="0"/>
        <w:ind w:left="567" w:right="567"/>
        <w:jc w:val="both"/>
        <w:rPr>
          <w:rFonts w:ascii="Arial" w:hAnsi="Arial" w:cs="Arial"/>
          <w:i/>
          <w:sz w:val="20"/>
          <w:szCs w:val="20"/>
        </w:rPr>
      </w:pPr>
      <w:r w:rsidRPr="00A42212">
        <w:rPr>
          <w:rFonts w:ascii="Arial" w:hAnsi="Arial" w:cs="Arial"/>
          <w:i/>
          <w:sz w:val="20"/>
          <w:szCs w:val="20"/>
        </w:rPr>
        <w:t>12. En virtud del principio de economía, las autoridades deberán proceder con austeridad y eficiencia, optimizar el uso del tiempo y de los demás recursos, procurando el más alto nivel de calidad en sus actuaciones y la protección de los derechos de las personas.</w:t>
      </w:r>
    </w:p>
    <w:p w14:paraId="48F1EC82" w14:textId="77777777" w:rsidR="00277ABA" w:rsidRPr="00A42212" w:rsidRDefault="00277ABA" w:rsidP="00277ABA">
      <w:pPr>
        <w:spacing w:after="0"/>
        <w:ind w:left="567" w:right="567"/>
        <w:jc w:val="both"/>
        <w:rPr>
          <w:rFonts w:ascii="Arial" w:hAnsi="Arial" w:cs="Arial"/>
          <w:i/>
          <w:sz w:val="20"/>
          <w:szCs w:val="20"/>
        </w:rPr>
      </w:pPr>
    </w:p>
    <w:p w14:paraId="040B1783" w14:textId="77777777" w:rsidR="00277ABA" w:rsidRPr="00A42212" w:rsidRDefault="00277ABA" w:rsidP="00277ABA">
      <w:pPr>
        <w:spacing w:after="0"/>
        <w:ind w:left="567" w:right="567"/>
        <w:jc w:val="both"/>
        <w:rPr>
          <w:rFonts w:ascii="Arial" w:hAnsi="Arial" w:cs="Arial"/>
          <w:i/>
          <w:sz w:val="20"/>
          <w:szCs w:val="20"/>
        </w:rPr>
      </w:pPr>
      <w:r w:rsidRPr="00A42212">
        <w:rPr>
          <w:rFonts w:ascii="Arial" w:hAnsi="Arial" w:cs="Arial"/>
          <w:i/>
          <w:sz w:val="20"/>
          <w:szCs w:val="20"/>
        </w:rPr>
        <w:t>13. En virtud del principio de celeridad</w:t>
      </w:r>
      <w:r w:rsidRPr="00A92FB2">
        <w:rPr>
          <w:rFonts w:ascii="Arial" w:hAnsi="Arial" w:cs="Arial"/>
          <w:i/>
        </w:rPr>
        <w:t xml:space="preserve">, </w:t>
      </w:r>
      <w:r w:rsidRPr="00A42212">
        <w:rPr>
          <w:rFonts w:ascii="Arial" w:hAnsi="Arial" w:cs="Arial"/>
          <w:i/>
          <w:sz w:val="20"/>
          <w:szCs w:val="20"/>
        </w:rPr>
        <w:t>las autoridades impulsarán oficiosamente los procedimientos, e incentivarán el uso de las tecnologías de la información y las comunicaciones, a efectos de que los procedimientos se adelanten con diligencia, dentro de los términos legales y sin dilaciones injustificadas.</w:t>
      </w:r>
    </w:p>
    <w:p w14:paraId="3891BFBA" w14:textId="77777777" w:rsidR="00277ABA" w:rsidRPr="00A92FB2" w:rsidRDefault="00277ABA" w:rsidP="00277ABA">
      <w:pPr>
        <w:spacing w:after="0"/>
        <w:ind w:right="48"/>
        <w:jc w:val="both"/>
        <w:rPr>
          <w:rFonts w:ascii="Arial" w:hAnsi="Arial" w:cs="Arial"/>
          <w:color w:val="7030A0"/>
        </w:rPr>
      </w:pPr>
    </w:p>
    <w:p w14:paraId="4A7512D1" w14:textId="77777777" w:rsidR="00277ABA" w:rsidRPr="00A92FB2" w:rsidRDefault="00277ABA" w:rsidP="00277ABA">
      <w:pPr>
        <w:spacing w:after="0"/>
        <w:ind w:right="48"/>
        <w:jc w:val="both"/>
        <w:rPr>
          <w:rFonts w:ascii="Arial" w:hAnsi="Arial" w:cs="Arial"/>
          <w:i/>
        </w:rPr>
      </w:pPr>
      <w:r w:rsidRPr="00A92FB2">
        <w:rPr>
          <w:rFonts w:ascii="Arial" w:hAnsi="Arial" w:cs="Arial"/>
        </w:rPr>
        <w:lastRenderedPageBreak/>
        <w:t xml:space="preserve">Que, el artículo 306 del Código de Procedimiento Administrativo y de lo Contencioso Administrativo, dispone: </w:t>
      </w:r>
      <w:r w:rsidRPr="00A42212">
        <w:rPr>
          <w:rFonts w:ascii="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A92FB2">
        <w:rPr>
          <w:rFonts w:ascii="Arial" w:hAnsi="Arial" w:cs="Arial"/>
          <w:i/>
        </w:rPr>
        <w:t>.”</w:t>
      </w:r>
    </w:p>
    <w:p w14:paraId="085FCA60" w14:textId="77777777" w:rsidR="00277ABA" w:rsidRPr="00A92FB2" w:rsidRDefault="00277ABA" w:rsidP="00277ABA">
      <w:pPr>
        <w:spacing w:after="0"/>
        <w:ind w:right="48"/>
        <w:jc w:val="both"/>
        <w:rPr>
          <w:rFonts w:ascii="Arial" w:hAnsi="Arial" w:cs="Arial"/>
          <w:i/>
          <w:color w:val="7030A0"/>
        </w:rPr>
      </w:pPr>
    </w:p>
    <w:p w14:paraId="5DE36E4F" w14:textId="77777777" w:rsidR="00277ABA" w:rsidRPr="00A92FB2" w:rsidRDefault="00277ABA" w:rsidP="00277ABA">
      <w:pPr>
        <w:spacing w:after="0"/>
        <w:ind w:right="48"/>
        <w:jc w:val="both"/>
        <w:rPr>
          <w:rFonts w:ascii="Arial" w:hAnsi="Arial" w:cs="Arial"/>
          <w:lang w:val="es-CO"/>
        </w:rPr>
      </w:pPr>
      <w:r w:rsidRPr="00A92FB2">
        <w:rPr>
          <w:rFonts w:ascii="Arial" w:hAnsi="Arial" w:cs="Arial"/>
          <w:lang w:val="es-CO"/>
        </w:rPr>
        <w:t>Que el artículo 122 del Código General del Proceso, vigente desde el 1 de enero de 2014, y que derogó el artículo 126 del Código de Procedimiento Civil, establece: </w:t>
      </w:r>
    </w:p>
    <w:p w14:paraId="790BB7B2" w14:textId="77777777" w:rsidR="00277ABA" w:rsidRPr="00A92FB2" w:rsidRDefault="00277ABA" w:rsidP="00277ABA">
      <w:pPr>
        <w:spacing w:after="0"/>
        <w:ind w:right="48"/>
        <w:jc w:val="both"/>
        <w:rPr>
          <w:rFonts w:ascii="Arial" w:hAnsi="Arial" w:cs="Arial"/>
          <w:lang w:val="es-CO"/>
        </w:rPr>
      </w:pPr>
    </w:p>
    <w:p w14:paraId="51931030" w14:textId="77777777" w:rsidR="00277ABA" w:rsidRPr="00A42212" w:rsidRDefault="00277ABA" w:rsidP="00277ABA">
      <w:pPr>
        <w:spacing w:after="0"/>
        <w:ind w:left="567" w:right="567"/>
        <w:jc w:val="both"/>
        <w:rPr>
          <w:rFonts w:ascii="Arial" w:hAnsi="Arial" w:cs="Arial"/>
          <w:i/>
          <w:sz w:val="20"/>
          <w:szCs w:val="20"/>
          <w:lang w:val="es-CO"/>
        </w:rPr>
      </w:pPr>
      <w:bookmarkStart w:id="4" w:name="122"/>
      <w:r w:rsidRPr="00A92FB2">
        <w:rPr>
          <w:rFonts w:ascii="Arial" w:hAnsi="Arial" w:cs="Arial"/>
          <w:b/>
          <w:bCs/>
          <w:i/>
          <w:lang w:val="es-CO"/>
        </w:rPr>
        <w:t>“</w:t>
      </w:r>
      <w:r w:rsidRPr="00A42212">
        <w:rPr>
          <w:rFonts w:ascii="Arial" w:hAnsi="Arial" w:cs="Arial"/>
          <w:bCs/>
          <w:i/>
          <w:sz w:val="20"/>
          <w:szCs w:val="20"/>
          <w:lang w:val="es-CO"/>
        </w:rPr>
        <w:t>Artículo 122. Formación y Archivo de los Expedientes.</w:t>
      </w:r>
      <w:bookmarkEnd w:id="4"/>
      <w:r w:rsidRPr="00A42212">
        <w:rPr>
          <w:rFonts w:ascii="Arial" w:hAnsi="Arial" w:cs="Arial"/>
          <w:i/>
          <w:sz w:val="20"/>
          <w:szCs w:val="20"/>
          <w:lang w:val="es-CO"/>
        </w:rPr>
        <w:t>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11E0EA44" w14:textId="77777777" w:rsidR="00277ABA" w:rsidRPr="00A42212" w:rsidRDefault="00277ABA" w:rsidP="00277ABA">
      <w:pPr>
        <w:spacing w:after="0"/>
        <w:ind w:left="567" w:right="567"/>
        <w:jc w:val="both"/>
        <w:rPr>
          <w:rFonts w:ascii="Arial" w:hAnsi="Arial" w:cs="Arial"/>
          <w:i/>
          <w:sz w:val="20"/>
          <w:szCs w:val="20"/>
          <w:lang w:val="es-CO"/>
        </w:rPr>
      </w:pPr>
    </w:p>
    <w:p w14:paraId="7C87EA99" w14:textId="77777777" w:rsidR="00277ABA" w:rsidRPr="00A42212" w:rsidRDefault="00277ABA" w:rsidP="00277ABA">
      <w:pPr>
        <w:spacing w:after="0"/>
        <w:ind w:left="567" w:right="567"/>
        <w:jc w:val="both"/>
        <w:rPr>
          <w:rFonts w:ascii="Arial" w:hAnsi="Arial" w:cs="Arial"/>
          <w:i/>
          <w:iCs/>
          <w:sz w:val="20"/>
          <w:szCs w:val="20"/>
        </w:rPr>
      </w:pPr>
      <w:r w:rsidRPr="00A42212">
        <w:rPr>
          <w:rFonts w:ascii="Arial" w:hAnsi="Arial" w:cs="Arial"/>
          <w:i/>
          <w:iCs/>
          <w:sz w:val="20"/>
          <w:szCs w:val="20"/>
        </w:rPr>
        <w:t>[…]</w:t>
      </w:r>
    </w:p>
    <w:p w14:paraId="053FDCC2" w14:textId="77777777" w:rsidR="00277ABA" w:rsidRPr="00A42212" w:rsidRDefault="00277ABA" w:rsidP="00277ABA">
      <w:pPr>
        <w:spacing w:after="0"/>
        <w:ind w:left="567" w:right="567"/>
        <w:jc w:val="both"/>
        <w:rPr>
          <w:rFonts w:ascii="Arial" w:hAnsi="Arial" w:cs="Arial"/>
          <w:i/>
          <w:iCs/>
          <w:sz w:val="20"/>
          <w:szCs w:val="20"/>
        </w:rPr>
      </w:pPr>
    </w:p>
    <w:p w14:paraId="7E04A49D" w14:textId="77777777" w:rsidR="00277ABA" w:rsidRPr="00A42212" w:rsidRDefault="00277ABA" w:rsidP="00277ABA">
      <w:pPr>
        <w:spacing w:after="0"/>
        <w:ind w:left="567" w:right="567"/>
        <w:jc w:val="both"/>
        <w:rPr>
          <w:rFonts w:ascii="Arial" w:hAnsi="Arial" w:cs="Arial"/>
          <w:i/>
          <w:sz w:val="20"/>
          <w:szCs w:val="20"/>
          <w:lang w:val="es-CO"/>
        </w:rPr>
      </w:pPr>
      <w:r w:rsidRPr="00A42212">
        <w:rPr>
          <w:rFonts w:ascii="Arial" w:hAnsi="Arial" w:cs="Arial"/>
          <w:i/>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132C0656" w14:textId="77777777" w:rsidR="00277ABA" w:rsidRPr="00A92FB2" w:rsidRDefault="00277ABA" w:rsidP="00277ABA">
      <w:pPr>
        <w:spacing w:after="0"/>
        <w:ind w:right="48"/>
        <w:jc w:val="both"/>
        <w:rPr>
          <w:rFonts w:ascii="Arial" w:hAnsi="Arial" w:cs="Arial"/>
          <w:lang w:val="es-CO"/>
        </w:rPr>
      </w:pPr>
    </w:p>
    <w:p w14:paraId="1AFBC8EB" w14:textId="77777777" w:rsidR="00277ABA" w:rsidRPr="00A92FB2" w:rsidRDefault="00277ABA" w:rsidP="00277ABA">
      <w:pPr>
        <w:spacing w:after="0"/>
        <w:ind w:right="48"/>
        <w:jc w:val="both"/>
        <w:rPr>
          <w:rFonts w:ascii="Arial" w:hAnsi="Arial" w:cs="Arial"/>
        </w:rPr>
      </w:pPr>
      <w:r w:rsidRPr="00A92FB2">
        <w:rPr>
          <w:rFonts w:ascii="Arial" w:hAnsi="Arial" w:cs="Arial"/>
          <w:lang w:val="es-CO"/>
        </w:rPr>
        <w:t>Que el artículo 103 del Acuerdo 257 del 30 de noviembre de 2006,</w:t>
      </w:r>
      <w:r w:rsidRPr="00A92FB2">
        <w:rPr>
          <w:rFonts w:ascii="Arial" w:hAnsi="Arial" w:cs="Arial"/>
        </w:rPr>
        <w:t xml:space="preserve"> estableció:</w:t>
      </w:r>
    </w:p>
    <w:p w14:paraId="48579146" w14:textId="77777777" w:rsidR="00277ABA" w:rsidRPr="00A92FB2" w:rsidRDefault="00277ABA" w:rsidP="00277ABA">
      <w:pPr>
        <w:spacing w:after="0"/>
        <w:ind w:right="48"/>
        <w:jc w:val="both"/>
        <w:rPr>
          <w:rFonts w:ascii="Arial" w:hAnsi="Arial" w:cs="Arial"/>
        </w:rPr>
      </w:pPr>
    </w:p>
    <w:p w14:paraId="626D0338" w14:textId="77777777" w:rsidR="00277ABA" w:rsidRPr="00A42212" w:rsidRDefault="00277ABA" w:rsidP="00277ABA">
      <w:pPr>
        <w:spacing w:after="0"/>
        <w:ind w:left="567" w:right="567"/>
        <w:jc w:val="both"/>
        <w:rPr>
          <w:rFonts w:ascii="Arial" w:hAnsi="Arial" w:cs="Arial"/>
          <w:i/>
          <w:sz w:val="20"/>
          <w:szCs w:val="20"/>
          <w:lang w:val="es-CO"/>
        </w:rPr>
      </w:pPr>
      <w:r w:rsidRPr="00A42212">
        <w:rPr>
          <w:rFonts w:ascii="Arial" w:hAnsi="Arial" w:cs="Arial"/>
          <w:i/>
          <w:sz w:val="20"/>
          <w:szCs w:val="20"/>
          <w:lang w:val="es-CO"/>
        </w:rPr>
        <w:t>“Artículo 103. Naturaleza, objeto y funciones básicas de la Secretaría Distrital de Ambiente. </w:t>
      </w:r>
      <w:r w:rsidRPr="00A42212">
        <w:rPr>
          <w:rFonts w:ascii="Arial" w:hAnsi="Arial" w:cs="Arial"/>
          <w:i/>
          <w:sz w:val="20"/>
          <w:szCs w:val="20"/>
          <w:u w:val="single"/>
          <w:lang w:val="es-CO"/>
        </w:rPr>
        <w:t>Modificado por el art. 33, Acuerdo Distrital 546 de 2013</w:t>
      </w:r>
      <w:r w:rsidRPr="00A42212">
        <w:rPr>
          <w:rFonts w:ascii="Arial" w:hAnsi="Arial" w:cs="Arial"/>
          <w:i/>
          <w:sz w:val="20"/>
          <w:szCs w:val="20"/>
          <w:lang w:val="es-CO"/>
        </w:rPr>
        <w:t>. La Secretaría Distrital de Ambiente es un organismo del Sector Central con autonomía administrativa y financiera y tiene por objeto orientar y liderar la formulación de políticas ambientales y de aprovechamiento sostenible de los recursos ambientales y del suelo, tendientes a preservar la diversidad e integridad del ambiente, el manejo y aprovechamiento sostenible de los recursos naturales distritales y la conservación del sistema de áreas protegidas, para garantizar una relación adecuada entre la población y el entorno ambiental y crear las condiciones que garanticen los derechos fundamentales y colectivos relacionados con el medio ambiente.”</w:t>
      </w:r>
    </w:p>
    <w:p w14:paraId="0B215E8D" w14:textId="77777777" w:rsidR="00277ABA" w:rsidRPr="00A92FB2" w:rsidRDefault="00277ABA" w:rsidP="00277ABA">
      <w:pPr>
        <w:spacing w:after="0"/>
        <w:ind w:left="567" w:right="567"/>
        <w:jc w:val="both"/>
        <w:rPr>
          <w:rFonts w:ascii="Arial" w:hAnsi="Arial" w:cs="Arial"/>
          <w:i/>
          <w:lang w:val="es-CO"/>
        </w:rPr>
      </w:pPr>
    </w:p>
    <w:p w14:paraId="1A350D95" w14:textId="77777777" w:rsidR="00277ABA" w:rsidRPr="00A92FB2" w:rsidRDefault="00277ABA" w:rsidP="00277ABA">
      <w:pPr>
        <w:spacing w:after="0"/>
        <w:ind w:right="48"/>
        <w:jc w:val="both"/>
        <w:rPr>
          <w:rFonts w:ascii="Arial" w:hAnsi="Arial" w:cs="Arial"/>
          <w:b/>
          <w:bCs/>
          <w:lang w:eastAsia="es-ES"/>
        </w:rPr>
      </w:pPr>
      <w:r w:rsidRPr="00A92FB2">
        <w:rPr>
          <w:rFonts w:ascii="Arial" w:eastAsiaTheme="minorHAnsi" w:hAnsi="Arial" w:cs="Arial"/>
        </w:rPr>
        <w:t>Que de conformidad con lo dispuesto en el Decreto 109 de 2009, modificado por el Decreto 175 de 2009, por medio del cual se reorganiza la estructura de la Secretaría Distrital de Ambiente, se emitió</w:t>
      </w:r>
      <w:r w:rsidRPr="00A92FB2">
        <w:rPr>
          <w:rFonts w:ascii="Arial" w:hAnsi="Arial" w:cs="Arial"/>
        </w:rPr>
        <w:t xml:space="preserve"> la Resolución SDA 1865 del 06 de julio de 2021, adicionada por la Resolución SDA 046 del 13 de enero de 2022, misma que dispuso en su artículo 5 numeral 5: </w:t>
      </w:r>
    </w:p>
    <w:p w14:paraId="0056D61D" w14:textId="77777777" w:rsidR="00277ABA" w:rsidRPr="00A92FB2" w:rsidRDefault="00277ABA" w:rsidP="00277ABA">
      <w:pPr>
        <w:spacing w:after="0"/>
        <w:ind w:right="48"/>
        <w:jc w:val="both"/>
        <w:rPr>
          <w:rFonts w:ascii="Arial" w:hAnsi="Arial" w:cs="Arial"/>
          <w:i/>
          <w:lang w:val="es-CO"/>
        </w:rPr>
      </w:pPr>
    </w:p>
    <w:p w14:paraId="1E60C6DE" w14:textId="77777777" w:rsidR="00277ABA" w:rsidRPr="00A42212" w:rsidRDefault="00277ABA" w:rsidP="00277ABA">
      <w:pPr>
        <w:spacing w:after="0"/>
        <w:ind w:left="567" w:right="567"/>
        <w:jc w:val="both"/>
        <w:rPr>
          <w:rFonts w:ascii="Arial" w:hAnsi="Arial" w:cs="Arial"/>
          <w:i/>
          <w:sz w:val="20"/>
          <w:szCs w:val="20"/>
          <w:lang w:val="es-CO"/>
        </w:rPr>
      </w:pPr>
      <w:r w:rsidRPr="00A42212">
        <w:rPr>
          <w:rFonts w:ascii="Arial" w:hAnsi="Arial" w:cs="Arial"/>
          <w:i/>
          <w:sz w:val="20"/>
          <w:szCs w:val="20"/>
          <w:lang w:val="es-CO"/>
        </w:rPr>
        <w:lastRenderedPageBreak/>
        <w:t>“Artículo 5. Delegar en la Subdirectora de Silvicultura, Flora y Fauna Silvestre, la proyección y expedición de los actos administrativos relacionados con el objeto, funciones y naturaleza de la Subdirección y que se enumeran a continuación:</w:t>
      </w:r>
    </w:p>
    <w:p w14:paraId="01B9EC33" w14:textId="77777777" w:rsidR="00277ABA" w:rsidRPr="00A42212" w:rsidRDefault="00277ABA" w:rsidP="00277ABA">
      <w:pPr>
        <w:spacing w:after="0"/>
        <w:ind w:left="567" w:right="567"/>
        <w:jc w:val="both"/>
        <w:rPr>
          <w:rFonts w:ascii="Arial" w:hAnsi="Arial" w:cs="Arial"/>
          <w:i/>
          <w:sz w:val="20"/>
          <w:szCs w:val="20"/>
          <w:lang w:val="es-CO"/>
        </w:rPr>
      </w:pPr>
    </w:p>
    <w:p w14:paraId="54A70F35" w14:textId="77777777" w:rsidR="00277ABA" w:rsidRPr="00A42212" w:rsidRDefault="00277ABA" w:rsidP="00277ABA">
      <w:pPr>
        <w:spacing w:after="0"/>
        <w:ind w:left="567" w:right="567"/>
        <w:jc w:val="both"/>
        <w:rPr>
          <w:rFonts w:ascii="Arial" w:hAnsi="Arial" w:cs="Arial"/>
          <w:i/>
          <w:iCs/>
          <w:sz w:val="20"/>
          <w:szCs w:val="20"/>
        </w:rPr>
      </w:pPr>
      <w:r w:rsidRPr="00A42212">
        <w:rPr>
          <w:rFonts w:ascii="Arial" w:hAnsi="Arial" w:cs="Arial"/>
          <w:i/>
          <w:iCs/>
          <w:sz w:val="20"/>
          <w:szCs w:val="20"/>
        </w:rPr>
        <w:t>[…]</w:t>
      </w:r>
    </w:p>
    <w:p w14:paraId="27FF4451" w14:textId="77777777" w:rsidR="00277ABA" w:rsidRPr="00A42212" w:rsidRDefault="00277ABA" w:rsidP="00277ABA">
      <w:pPr>
        <w:spacing w:after="0"/>
        <w:ind w:left="567" w:right="567"/>
        <w:jc w:val="both"/>
        <w:rPr>
          <w:rFonts w:ascii="Arial" w:hAnsi="Arial" w:cs="Arial"/>
          <w:i/>
          <w:iCs/>
          <w:sz w:val="20"/>
          <w:szCs w:val="20"/>
        </w:rPr>
      </w:pPr>
    </w:p>
    <w:p w14:paraId="06EC9CAA" w14:textId="77777777" w:rsidR="00277ABA" w:rsidRPr="00A42212" w:rsidRDefault="00277ABA" w:rsidP="00277ABA">
      <w:pPr>
        <w:spacing w:after="0"/>
        <w:ind w:left="567" w:right="567"/>
        <w:jc w:val="both"/>
        <w:rPr>
          <w:rFonts w:ascii="Arial" w:hAnsi="Arial" w:cs="Arial"/>
          <w:i/>
          <w:sz w:val="20"/>
          <w:szCs w:val="20"/>
          <w:lang w:val="es-CO"/>
        </w:rPr>
      </w:pPr>
      <w:r w:rsidRPr="00A42212">
        <w:rPr>
          <w:rFonts w:ascii="Arial" w:hAnsi="Arial" w:cs="Arial"/>
          <w:i/>
          <w:sz w:val="20"/>
          <w:szCs w:val="20"/>
          <w:lang w:val="es-CO"/>
        </w:rPr>
        <w:t xml:space="preserve">5. Expedir los actos que ordenan el archivo, desglose, acumulación, ordenación cronológica y refoliación de actuaciones administrativas que obren dentro de los trámites de carácter permisivo. </w:t>
      </w:r>
      <w:r w:rsidRPr="00A42212">
        <w:rPr>
          <w:rFonts w:ascii="Arial" w:hAnsi="Arial" w:cs="Arial"/>
          <w:i/>
          <w:iCs/>
          <w:sz w:val="20"/>
          <w:szCs w:val="20"/>
        </w:rPr>
        <w:t>[…]</w:t>
      </w:r>
      <w:r w:rsidRPr="00A42212">
        <w:rPr>
          <w:rFonts w:ascii="Arial" w:hAnsi="Arial" w:cs="Arial"/>
          <w:i/>
          <w:sz w:val="20"/>
          <w:szCs w:val="20"/>
          <w:lang w:val="es-CO"/>
        </w:rPr>
        <w:t xml:space="preserve">”. </w:t>
      </w:r>
    </w:p>
    <w:p w14:paraId="3E42D2F1" w14:textId="77777777" w:rsidR="00277ABA" w:rsidRPr="00A92FB2" w:rsidRDefault="00277ABA" w:rsidP="00277ABA">
      <w:pPr>
        <w:spacing w:after="0"/>
        <w:ind w:right="48"/>
        <w:jc w:val="both"/>
        <w:rPr>
          <w:rFonts w:ascii="Arial" w:hAnsi="Arial" w:cs="Arial"/>
          <w:color w:val="7030A0"/>
        </w:rPr>
      </w:pPr>
    </w:p>
    <w:p w14:paraId="24A32F56" w14:textId="325B1183" w:rsidR="00277ABA" w:rsidRPr="00277ABA" w:rsidRDefault="00277ABA" w:rsidP="00277ABA">
      <w:pPr>
        <w:spacing w:after="0"/>
        <w:ind w:right="48"/>
        <w:jc w:val="both"/>
        <w:rPr>
          <w:rFonts w:ascii="Arial" w:eastAsia="Times New Roman" w:hAnsi="Arial" w:cs="Arial"/>
          <w:lang w:val="es-ES_tradnl"/>
        </w:rPr>
      </w:pPr>
      <w:r w:rsidRPr="00A92FB2">
        <w:rPr>
          <w:rFonts w:ascii="Arial" w:hAnsi="Arial" w:cs="Arial"/>
        </w:rPr>
        <w:t xml:space="preserve">Que una vez evidenciado el cumplimento de las obligaciones derivadas de los Conceptos Técnicos </w:t>
      </w:r>
      <w:r>
        <w:rPr>
          <w:rFonts w:ascii="Arial" w:hAnsi="Arial" w:cs="Arial"/>
        </w:rPr>
        <w:t xml:space="preserve">de Manejo Silvicultural </w:t>
      </w:r>
      <w:r w:rsidRPr="00A92FB2">
        <w:rPr>
          <w:rFonts w:ascii="Arial" w:hAnsi="Arial" w:cs="Arial"/>
        </w:rPr>
        <w:t>mencionados anteriormente, por parte d</w:t>
      </w:r>
      <w:r>
        <w:rPr>
          <w:rFonts w:ascii="Arial" w:hAnsi="Arial" w:cs="Arial"/>
        </w:rPr>
        <w:t>el</w:t>
      </w:r>
      <w:r w:rsidRPr="00A92FB2">
        <w:rPr>
          <w:rFonts w:ascii="Arial" w:hAnsi="Arial" w:cs="Arial"/>
        </w:rPr>
        <w:t xml:space="preserve"> </w:t>
      </w:r>
      <w:r>
        <w:rPr>
          <w:rFonts w:ascii="Arial" w:hAnsi="Arial" w:cs="Arial"/>
          <w:shd w:val="clear" w:color="auto" w:fill="FFFFFF"/>
        </w:rPr>
        <w:t xml:space="preserve">UNIDAD </w:t>
      </w:r>
      <w:r w:rsidRPr="00277ABA">
        <w:rPr>
          <w:rFonts w:ascii="Arial" w:hAnsi="Arial" w:cs="Arial"/>
          <w:shd w:val="clear" w:color="auto" w:fill="FFFFFF"/>
        </w:rPr>
        <w:t xml:space="preserve">ADMINISTRATIVA ESPECIAL DE SERVICIOS PUBLICOS - UAESP, con NIT. </w:t>
      </w:r>
      <w:r w:rsidRPr="00277ABA">
        <w:rPr>
          <w:rFonts w:ascii="Arial" w:hAnsi="Arial" w:cs="Arial"/>
          <w:lang w:val="es-CO"/>
        </w:rPr>
        <w:t>900.126.860-4</w:t>
      </w:r>
      <w:r w:rsidRPr="00277ABA">
        <w:rPr>
          <w:rFonts w:ascii="Arial" w:hAnsi="Arial" w:cs="Arial"/>
          <w:shd w:val="clear" w:color="auto" w:fill="FFFFFF"/>
        </w:rPr>
        <w:t>, a través de su representante legal, o quien haga sus veces,</w:t>
      </w:r>
      <w:r w:rsidRPr="00277ABA">
        <w:rPr>
          <w:rFonts w:ascii="Arial" w:hAnsi="Arial" w:cs="Arial"/>
        </w:rPr>
        <w:t xml:space="preserve"> y al no existir otra actuación administrativa pendiente por surtir en el presente trámite </w:t>
      </w:r>
      <w:r w:rsidRPr="00277ABA">
        <w:rPr>
          <w:rFonts w:ascii="Arial" w:hAnsi="Arial" w:cs="Arial"/>
          <w:b/>
        </w:rPr>
        <w:t>permisivo</w:t>
      </w:r>
      <w:r w:rsidRPr="00277ABA">
        <w:rPr>
          <w:rFonts w:ascii="Arial" w:hAnsi="Arial" w:cs="Arial"/>
        </w:rPr>
        <w:t>, se procederá al archivo del expediente</w:t>
      </w:r>
      <w:r w:rsidRPr="00277ABA">
        <w:rPr>
          <w:rFonts w:ascii="Arial" w:eastAsia="Times New Roman" w:hAnsi="Arial" w:cs="Arial"/>
        </w:rPr>
        <w:t xml:space="preserve"> </w:t>
      </w:r>
      <w:r w:rsidRPr="00277ABA">
        <w:rPr>
          <w:rFonts w:ascii="Arial" w:hAnsi="Arial" w:cs="Arial"/>
          <w:b/>
        </w:rPr>
        <w:t>SDA-03-2025-1878</w:t>
      </w:r>
      <w:r w:rsidRPr="00277ABA">
        <w:rPr>
          <w:rFonts w:ascii="Arial" w:hAnsi="Arial" w:cs="Arial"/>
          <w:bCs/>
        </w:rPr>
        <w:t>, sin perjuicio de las acciones administrativas, civiles o penales a que hubiere lugar.</w:t>
      </w:r>
    </w:p>
    <w:p w14:paraId="235BAA2B" w14:textId="77777777" w:rsidR="00277ABA" w:rsidRPr="00277ABA" w:rsidRDefault="00277ABA" w:rsidP="00277ABA">
      <w:pPr>
        <w:spacing w:after="0"/>
        <w:ind w:right="48"/>
        <w:jc w:val="both"/>
        <w:rPr>
          <w:rFonts w:ascii="Arial" w:hAnsi="Arial" w:cs="Arial"/>
        </w:rPr>
      </w:pPr>
    </w:p>
    <w:p w14:paraId="0E9C08BE" w14:textId="77777777" w:rsidR="00277ABA" w:rsidRPr="00277ABA" w:rsidRDefault="00277ABA" w:rsidP="00277ABA">
      <w:pPr>
        <w:spacing w:after="0"/>
        <w:ind w:right="48"/>
        <w:jc w:val="both"/>
        <w:rPr>
          <w:rFonts w:ascii="Arial" w:hAnsi="Arial" w:cs="Arial"/>
        </w:rPr>
      </w:pPr>
    </w:p>
    <w:p w14:paraId="130821B1" w14:textId="77777777" w:rsidR="00277ABA" w:rsidRPr="00277ABA" w:rsidRDefault="00277ABA" w:rsidP="00277ABA">
      <w:pPr>
        <w:spacing w:after="0"/>
        <w:ind w:right="48"/>
        <w:jc w:val="both"/>
        <w:rPr>
          <w:rFonts w:ascii="Arial" w:hAnsi="Arial" w:cs="Arial"/>
          <w:b/>
        </w:rPr>
      </w:pPr>
      <w:r w:rsidRPr="00277ABA">
        <w:rPr>
          <w:rFonts w:ascii="Arial" w:hAnsi="Arial" w:cs="Arial"/>
        </w:rPr>
        <w:t xml:space="preserve">En mérito de lo expuesto,  </w:t>
      </w:r>
    </w:p>
    <w:p w14:paraId="3A012D69" w14:textId="77777777" w:rsidR="00277ABA" w:rsidRPr="00277ABA" w:rsidRDefault="00277ABA" w:rsidP="00277ABA">
      <w:pPr>
        <w:pStyle w:val="Sinespaciado"/>
        <w:spacing w:line="276" w:lineRule="auto"/>
        <w:ind w:right="48"/>
        <w:jc w:val="both"/>
        <w:rPr>
          <w:rFonts w:ascii="Arial" w:hAnsi="Arial" w:cs="Arial"/>
          <w:b/>
        </w:rPr>
      </w:pPr>
    </w:p>
    <w:p w14:paraId="5A37F221" w14:textId="77777777" w:rsidR="00277ABA" w:rsidRPr="00277ABA" w:rsidRDefault="00277ABA" w:rsidP="00277ABA">
      <w:pPr>
        <w:pStyle w:val="Sinespaciado"/>
        <w:spacing w:line="276" w:lineRule="auto"/>
        <w:ind w:right="48"/>
        <w:jc w:val="center"/>
        <w:rPr>
          <w:rFonts w:ascii="Arial" w:hAnsi="Arial" w:cs="Arial"/>
          <w:b/>
        </w:rPr>
      </w:pPr>
      <w:r w:rsidRPr="00277ABA">
        <w:rPr>
          <w:rFonts w:ascii="Arial" w:hAnsi="Arial" w:cs="Arial"/>
          <w:b/>
        </w:rPr>
        <w:t>DISPONE</w:t>
      </w:r>
    </w:p>
    <w:p w14:paraId="2F50C5CA" w14:textId="77777777" w:rsidR="00277ABA" w:rsidRPr="00277ABA" w:rsidRDefault="00277ABA" w:rsidP="00277ABA">
      <w:pPr>
        <w:pStyle w:val="Sinespaciado"/>
        <w:spacing w:line="276" w:lineRule="auto"/>
        <w:ind w:right="48"/>
        <w:jc w:val="both"/>
        <w:rPr>
          <w:rFonts w:ascii="Arial" w:hAnsi="Arial" w:cs="Arial"/>
          <w:b/>
        </w:rPr>
      </w:pPr>
    </w:p>
    <w:p w14:paraId="48C09C24" w14:textId="3B2B21CA" w:rsidR="00277ABA" w:rsidRPr="00277ABA" w:rsidRDefault="00277ABA" w:rsidP="00277ABA">
      <w:pPr>
        <w:spacing w:after="0"/>
        <w:ind w:right="48"/>
        <w:jc w:val="both"/>
        <w:rPr>
          <w:rFonts w:ascii="Arial" w:eastAsia="Times New Roman" w:hAnsi="Arial" w:cs="Arial"/>
        </w:rPr>
      </w:pPr>
      <w:r w:rsidRPr="00277ABA">
        <w:rPr>
          <w:rFonts w:ascii="Arial" w:hAnsi="Arial" w:cs="Arial"/>
          <w:b/>
        </w:rPr>
        <w:t>ARTÍCULO PRIMERO.</w:t>
      </w:r>
      <w:r w:rsidRPr="00277ABA">
        <w:rPr>
          <w:rFonts w:ascii="Arial" w:hAnsi="Arial" w:cs="Arial"/>
        </w:rPr>
        <w:t xml:space="preserve"> </w:t>
      </w:r>
      <w:r w:rsidRPr="00277ABA">
        <w:rPr>
          <w:rFonts w:ascii="Arial" w:eastAsia="Times New Roman" w:hAnsi="Arial" w:cs="Arial"/>
          <w:lang w:val="es-CO"/>
        </w:rPr>
        <w:t>Or</w:t>
      </w:r>
      <w:r w:rsidRPr="00277ABA">
        <w:rPr>
          <w:rFonts w:ascii="Arial" w:eastAsia="Times New Roman" w:hAnsi="Arial" w:cs="Arial"/>
        </w:rPr>
        <w:t xml:space="preserve">denar el ARCHIVO de las actuaciones administrativas contenidas en el expediente </w:t>
      </w:r>
      <w:r w:rsidRPr="00277ABA">
        <w:rPr>
          <w:rFonts w:ascii="Arial" w:hAnsi="Arial" w:cs="Arial"/>
          <w:b/>
          <w:bCs/>
        </w:rPr>
        <w:t>SDA-03-2025-1878</w:t>
      </w:r>
      <w:r w:rsidRPr="00277ABA">
        <w:rPr>
          <w:rFonts w:ascii="Arial" w:eastAsia="Times New Roman" w:hAnsi="Arial" w:cs="Arial"/>
          <w:bCs/>
        </w:rPr>
        <w:t xml:space="preserve">, </w:t>
      </w:r>
      <w:r w:rsidRPr="00277ABA">
        <w:rPr>
          <w:rFonts w:ascii="Arial" w:eastAsia="Times New Roman" w:hAnsi="Arial" w:cs="Arial"/>
        </w:rPr>
        <w:t xml:space="preserve">por las razones expuestas en la parte motiva del presente acto administrativo. </w:t>
      </w:r>
    </w:p>
    <w:p w14:paraId="2032EF0A" w14:textId="77777777" w:rsidR="00277ABA" w:rsidRPr="00277ABA" w:rsidRDefault="00277ABA" w:rsidP="00277ABA">
      <w:pPr>
        <w:spacing w:after="0"/>
        <w:ind w:right="48"/>
        <w:jc w:val="both"/>
        <w:rPr>
          <w:rFonts w:ascii="Arial" w:eastAsia="Times New Roman" w:hAnsi="Arial" w:cs="Arial"/>
          <w:color w:val="7030A0"/>
        </w:rPr>
      </w:pPr>
    </w:p>
    <w:p w14:paraId="5D0923EE" w14:textId="77777777" w:rsidR="00277ABA" w:rsidRPr="00277ABA" w:rsidRDefault="00277ABA" w:rsidP="00277ABA">
      <w:pPr>
        <w:spacing w:after="0"/>
        <w:ind w:right="48"/>
        <w:jc w:val="both"/>
        <w:rPr>
          <w:rFonts w:ascii="Arial" w:eastAsiaTheme="minorHAnsi" w:hAnsi="Arial" w:cs="Arial"/>
          <w:color w:val="7030A0"/>
          <w:lang w:val="es-CO"/>
        </w:rPr>
      </w:pPr>
      <w:r w:rsidRPr="00277ABA">
        <w:rPr>
          <w:rFonts w:ascii="Arial" w:eastAsiaTheme="minorHAnsi" w:hAnsi="Arial" w:cs="Arial"/>
          <w:b/>
          <w:lang w:val="es-CO"/>
        </w:rPr>
        <w:t>ARTÍCULO SEGUNDO.</w:t>
      </w:r>
      <w:r w:rsidRPr="00277ABA">
        <w:rPr>
          <w:rFonts w:ascii="Arial" w:eastAsiaTheme="minorHAnsi" w:hAnsi="Arial" w:cs="Arial"/>
          <w:lang w:val="es-CO"/>
        </w:rPr>
        <w:t xml:space="preserve"> Comunicar el presente acto administrativo al </w:t>
      </w:r>
      <w:r w:rsidRPr="00277ABA">
        <w:rPr>
          <w:rFonts w:ascii="Arial" w:eastAsiaTheme="minorHAnsi" w:hAnsi="Arial" w:cs="Arial"/>
        </w:rPr>
        <w:t xml:space="preserve">UNIDAD ADMINISTRATIVA ESPECIAL DE SERVICIOS PUBLICOS - UAESP, con NIT. </w:t>
      </w:r>
      <w:r w:rsidRPr="00277ABA">
        <w:rPr>
          <w:rFonts w:ascii="Arial" w:hAnsi="Arial" w:cs="Arial"/>
          <w:lang w:val="es-CO"/>
        </w:rPr>
        <w:t>900.126.860-4</w:t>
      </w:r>
      <w:r w:rsidRPr="00277ABA">
        <w:rPr>
          <w:rFonts w:ascii="Arial" w:eastAsiaTheme="minorHAnsi" w:hAnsi="Arial" w:cs="Arial"/>
          <w:lang w:val="es-CO"/>
        </w:rPr>
        <w:t xml:space="preserve">, a través de su representante legal, o quien haga sus veces, en la </w:t>
      </w:r>
      <w:r w:rsidRPr="00277ABA">
        <w:rPr>
          <w:rFonts w:ascii="Arial" w:eastAsiaTheme="minorHAnsi" w:hAnsi="Arial" w:cs="Arial"/>
        </w:rPr>
        <w:t>Avenida Caracas No. 53 - 80</w:t>
      </w:r>
      <w:r w:rsidRPr="00277ABA">
        <w:rPr>
          <w:rFonts w:ascii="Arial" w:eastAsiaTheme="minorHAnsi" w:hAnsi="Arial" w:cs="Arial"/>
          <w:lang w:val="es-CO"/>
        </w:rPr>
        <w:t>, de la ciudad de Bogotá D.C.</w:t>
      </w:r>
    </w:p>
    <w:p w14:paraId="42B43E5F" w14:textId="77777777" w:rsidR="00277ABA" w:rsidRPr="00277ABA" w:rsidRDefault="00277ABA" w:rsidP="00277ABA">
      <w:pPr>
        <w:spacing w:after="0"/>
        <w:ind w:right="48"/>
        <w:jc w:val="both"/>
        <w:rPr>
          <w:rFonts w:ascii="Arial" w:eastAsia="Times New Roman" w:hAnsi="Arial" w:cs="Arial"/>
          <w:color w:val="7030A0"/>
          <w:lang w:eastAsia="es-CO"/>
        </w:rPr>
      </w:pPr>
    </w:p>
    <w:p w14:paraId="17C9A558" w14:textId="77777777" w:rsidR="00277ABA" w:rsidRPr="00277ABA" w:rsidRDefault="00277ABA" w:rsidP="00277ABA">
      <w:pPr>
        <w:spacing w:after="0"/>
        <w:ind w:right="48"/>
        <w:jc w:val="both"/>
        <w:rPr>
          <w:rFonts w:ascii="Arial" w:eastAsiaTheme="minorHAnsi" w:hAnsi="Arial" w:cs="Arial"/>
          <w:lang w:val="es-CO"/>
        </w:rPr>
      </w:pPr>
      <w:r w:rsidRPr="00277ABA">
        <w:rPr>
          <w:rFonts w:ascii="Arial" w:hAnsi="Arial" w:cs="Arial"/>
          <w:b/>
        </w:rPr>
        <w:t xml:space="preserve">ARTÍCULO TERCERO. </w:t>
      </w:r>
      <w:r w:rsidRPr="00277ABA">
        <w:rPr>
          <w:rFonts w:ascii="Arial" w:hAnsi="Arial" w:cs="Arial"/>
        </w:rPr>
        <w:t>R</w:t>
      </w:r>
      <w:r w:rsidRPr="00277ABA">
        <w:rPr>
          <w:rFonts w:ascii="Arial" w:eastAsiaTheme="minorHAnsi" w:hAnsi="Arial" w:cs="Arial"/>
          <w:lang w:val="es-CO"/>
        </w:rPr>
        <w:t>emitir copia del presente acto administrativo, con los soportes de comunicación, a la Subdirección Financiera de esta Entidad, para lo de su competencia.</w:t>
      </w:r>
    </w:p>
    <w:p w14:paraId="2DD8EAD9" w14:textId="77777777" w:rsidR="00277ABA" w:rsidRPr="00277ABA" w:rsidRDefault="00277ABA" w:rsidP="00277ABA">
      <w:pPr>
        <w:spacing w:after="0"/>
        <w:ind w:right="48"/>
        <w:jc w:val="both"/>
        <w:rPr>
          <w:rFonts w:ascii="Arial" w:hAnsi="Arial" w:cs="Arial"/>
          <w:b/>
        </w:rPr>
      </w:pPr>
    </w:p>
    <w:p w14:paraId="75B6646A" w14:textId="22BE1CC2" w:rsidR="00277ABA" w:rsidRPr="00A92FB2" w:rsidRDefault="00277ABA" w:rsidP="00277ABA">
      <w:pPr>
        <w:spacing w:after="0"/>
        <w:ind w:right="48"/>
        <w:jc w:val="both"/>
        <w:rPr>
          <w:rFonts w:ascii="Arial" w:hAnsi="Arial" w:cs="Arial"/>
        </w:rPr>
      </w:pPr>
      <w:r w:rsidRPr="00277ABA">
        <w:rPr>
          <w:rFonts w:ascii="Arial" w:hAnsi="Arial" w:cs="Arial"/>
          <w:b/>
        </w:rPr>
        <w:t>ARTÍCULO CUARTO.</w:t>
      </w:r>
      <w:r w:rsidRPr="00277ABA">
        <w:rPr>
          <w:rFonts w:ascii="Arial" w:hAnsi="Arial" w:cs="Arial"/>
        </w:rPr>
        <w:t xml:space="preserve"> Remitir el expediente </w:t>
      </w:r>
      <w:r w:rsidRPr="00277ABA">
        <w:rPr>
          <w:rFonts w:ascii="Arial" w:hAnsi="Arial" w:cs="Arial"/>
          <w:b/>
          <w:bCs/>
        </w:rPr>
        <w:t>SDA-03-2025-1878</w:t>
      </w:r>
      <w:r w:rsidRPr="00277ABA">
        <w:rPr>
          <w:rFonts w:ascii="Arial" w:hAnsi="Arial" w:cs="Arial"/>
        </w:rPr>
        <w:t>, al grupo de expedientes de esta autoridad ambiental, a efectos de que proceda su archivo definitivo.</w:t>
      </w:r>
      <w:r w:rsidRPr="00A92FB2">
        <w:rPr>
          <w:rFonts w:ascii="Arial" w:hAnsi="Arial" w:cs="Arial"/>
        </w:rPr>
        <w:t xml:space="preserve"> </w:t>
      </w:r>
    </w:p>
    <w:p w14:paraId="713731B0" w14:textId="77777777" w:rsidR="00277ABA" w:rsidRPr="00A92FB2" w:rsidRDefault="00277ABA" w:rsidP="00277ABA">
      <w:pPr>
        <w:spacing w:after="0"/>
        <w:ind w:right="48"/>
        <w:jc w:val="both"/>
        <w:rPr>
          <w:rFonts w:ascii="Arial" w:hAnsi="Arial" w:cs="Arial"/>
        </w:rPr>
      </w:pPr>
    </w:p>
    <w:p w14:paraId="6D7A1E74" w14:textId="77777777" w:rsidR="00277ABA" w:rsidRPr="00A92FB2" w:rsidRDefault="00277ABA" w:rsidP="00277ABA">
      <w:pPr>
        <w:spacing w:after="0"/>
        <w:ind w:right="48"/>
        <w:jc w:val="both"/>
        <w:rPr>
          <w:rFonts w:ascii="Arial" w:hAnsi="Arial" w:cs="Arial"/>
        </w:rPr>
      </w:pPr>
      <w:r w:rsidRPr="00A92FB2">
        <w:rPr>
          <w:rFonts w:ascii="Arial" w:hAnsi="Arial" w:cs="Arial"/>
          <w:b/>
        </w:rPr>
        <w:lastRenderedPageBreak/>
        <w:t xml:space="preserve">ARTÍCULO QUINTO. </w:t>
      </w:r>
      <w:r w:rsidRPr="00A92FB2">
        <w:rPr>
          <w:rFonts w:ascii="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00EF292D" w14:textId="77777777" w:rsidR="00277ABA" w:rsidRPr="00A92FB2" w:rsidRDefault="00277ABA" w:rsidP="00277ABA">
      <w:pPr>
        <w:spacing w:after="0"/>
        <w:ind w:right="48"/>
        <w:jc w:val="both"/>
        <w:rPr>
          <w:rFonts w:ascii="Arial" w:hAnsi="Arial" w:cs="Arial"/>
        </w:rPr>
      </w:pPr>
    </w:p>
    <w:p w14:paraId="720B5F83" w14:textId="77777777" w:rsidR="00277ABA" w:rsidRDefault="00277ABA" w:rsidP="00277ABA">
      <w:pPr>
        <w:spacing w:after="0"/>
        <w:ind w:right="48"/>
        <w:jc w:val="center"/>
      </w:pPr>
      <w:r w:rsidRPr="00A92FB2">
        <w:rPr>
          <w:rFonts w:ascii="Arial" w:hAnsi="Arial" w:cs="Arial"/>
          <w:b/>
        </w:rPr>
        <w:t>COMUNÍQUESE Y CÚMPLASE</w:t>
      </w:r>
    </w:p>
    <w:p w14:paraId="1B056E29" w14:textId="77777777" w:rsidR="00151297" w:rsidRDefault="00151297" w:rsidP="00855A3B">
      <w:pPr>
        <w:spacing w:after="0" w:line="240" w:lineRule="auto"/>
      </w:pPr>
    </w:p>
    <w:p w14:paraId="3A5FCDC6"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0865E539"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5" w:name="dia1"/>
      <w:r w:rsidRPr="00D3506E">
        <w:rPr>
          <w:rFonts w:ascii="Arial" w:hAnsi="Arial" w:cs="Arial"/>
          <w:b/>
          <w:sz w:val="24"/>
          <w:szCs w:val="24"/>
        </w:rPr>
        <w:t>xxx</w:t>
      </w:r>
      <w:bookmarkEnd w:id="5"/>
      <w:r w:rsidRPr="00D3506E">
        <w:rPr>
          <w:rFonts w:ascii="Arial" w:hAnsi="Arial" w:cs="Arial"/>
          <w:b/>
          <w:sz w:val="24"/>
          <w:szCs w:val="24"/>
        </w:rPr>
        <w:t xml:space="preserve"> días del mes de  </w:t>
      </w:r>
      <w:bookmarkStart w:id="6" w:name="mes1"/>
      <w:r w:rsidRPr="00D3506E">
        <w:rPr>
          <w:rFonts w:ascii="Arial" w:hAnsi="Arial" w:cs="Arial"/>
          <w:b/>
          <w:sz w:val="24"/>
          <w:szCs w:val="24"/>
        </w:rPr>
        <w:t>xxxxxxx</w:t>
      </w:r>
      <w:bookmarkEnd w:id="6"/>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7" w:name="anio1"/>
      <w:r w:rsidRPr="00D3506E">
        <w:rPr>
          <w:rFonts w:ascii="Arial" w:hAnsi="Arial" w:cs="Arial"/>
          <w:b/>
          <w:sz w:val="24"/>
          <w:szCs w:val="24"/>
        </w:rPr>
        <w:t>xxxxx</w:t>
      </w:r>
      <w:bookmarkEnd w:id="7"/>
    </w:p>
    <w:p w14:paraId="48176957" w14:textId="77777777" w:rsidR="00151297" w:rsidRDefault="00151297" w:rsidP="00855A3B">
      <w:pPr>
        <w:spacing w:after="0" w:line="240" w:lineRule="auto"/>
      </w:pPr>
    </w:p>
    <w:p w14:paraId="4530F9D5"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02ED484F" w14:textId="77777777" w:rsidR="00151297" w:rsidRDefault="00000000" w:rsidP="007E0C89">
      <w:pPr>
        <w:spacing w:after="0"/>
      </w:pPr>
      <w:bookmarkStart w:id="8" w:name="gdocs_firma"/>
      <w:r>
        <w:rPr>
          <w:rFonts w:cs="Arial"/>
          <w:noProof/>
          <w:lang w:val="es-CO" w:eastAsia="es-CO"/>
        </w:rPr>
        <w:drawing>
          <wp:inline distT="0" distB="0" distL="0" distR="0" wp14:anchorId="1D2B81B0" wp14:editId="291B0565">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8"/>
    </w:p>
    <w:p w14:paraId="63FBAFB3" w14:textId="77777777" w:rsidR="00151297" w:rsidRDefault="00000000" w:rsidP="007E0C89">
      <w:pPr>
        <w:spacing w:after="0" w:line="240" w:lineRule="auto"/>
        <w:rPr>
          <w:rFonts w:ascii="Arial" w:hAnsi="Arial" w:cs="Arial"/>
          <w:b/>
        </w:rPr>
      </w:pPr>
      <w:bookmarkStart w:id="9" w:name="gdocs_nomfir"/>
      <w:r w:rsidRPr="00521220">
        <w:rPr>
          <w:rFonts w:ascii="Arial" w:hAnsi="Arial" w:cs="Arial"/>
          <w:b/>
        </w:rPr>
        <w:t>NOMBRE DEL REMITENTE</w:t>
      </w:r>
      <w:bookmarkEnd w:id="9"/>
    </w:p>
    <w:p w14:paraId="49905E4A" w14:textId="77777777" w:rsidR="007E0C89" w:rsidRDefault="00000000" w:rsidP="007E0C89">
      <w:pPr>
        <w:spacing w:after="0" w:line="240" w:lineRule="auto"/>
        <w:rPr>
          <w:rFonts w:ascii="Arial" w:hAnsi="Arial" w:cs="Arial"/>
          <w:b/>
        </w:rPr>
      </w:pPr>
      <w:bookmarkStart w:id="10" w:name="dependencia"/>
      <w:r w:rsidRPr="00521220">
        <w:rPr>
          <w:rFonts w:ascii="Arial" w:hAnsi="Arial" w:cs="Arial"/>
          <w:b/>
        </w:rPr>
        <w:t>DEPENDENCIA</w:t>
      </w:r>
      <w:bookmarkEnd w:id="10"/>
    </w:p>
    <w:p w14:paraId="427E1BD1"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7AFE0015" w14:textId="77777777" w:rsidR="00D3506E" w:rsidRDefault="00D3506E" w:rsidP="00151297">
      <w:pPr>
        <w:spacing w:after="0" w:line="240" w:lineRule="auto"/>
        <w:rPr>
          <w:rFonts w:ascii="Arial" w:hAnsi="Arial" w:cs="Arial"/>
          <w:i/>
          <w:sz w:val="16"/>
          <w:szCs w:val="16"/>
        </w:rPr>
      </w:pPr>
    </w:p>
    <w:p w14:paraId="6B248313" w14:textId="2F6B9308" w:rsidR="007E0C89" w:rsidRDefault="00277ABA" w:rsidP="00151297">
      <w:pPr>
        <w:spacing w:after="0" w:line="240" w:lineRule="auto"/>
        <w:rPr>
          <w:rFonts w:ascii="Arial" w:hAnsi="Arial" w:cs="Arial"/>
          <w:i/>
          <w:sz w:val="16"/>
          <w:szCs w:val="16"/>
        </w:rPr>
      </w:pPr>
      <w:r w:rsidRPr="00277ABA">
        <w:rPr>
          <w:rFonts w:ascii="Arial" w:hAnsi="Arial" w:cs="Arial"/>
          <w:i/>
          <w:sz w:val="16"/>
          <w:szCs w:val="16"/>
        </w:rPr>
        <w:t>E</w:t>
      </w:r>
      <w:r w:rsidRPr="00277ABA">
        <w:rPr>
          <w:rFonts w:ascii="Arial" w:hAnsi="Arial" w:cs="Arial"/>
          <w:i/>
          <w:sz w:val="16"/>
          <w:szCs w:val="16"/>
        </w:rPr>
        <w:t>xpediente</w:t>
      </w:r>
      <w:r>
        <w:rPr>
          <w:rFonts w:ascii="Arial" w:hAnsi="Arial" w:cs="Arial"/>
          <w:i/>
          <w:sz w:val="16"/>
          <w:szCs w:val="16"/>
        </w:rPr>
        <w:t>:</w:t>
      </w:r>
      <w:r w:rsidRPr="00277ABA">
        <w:rPr>
          <w:rFonts w:ascii="Arial" w:hAnsi="Arial" w:cs="Arial"/>
          <w:i/>
          <w:sz w:val="16"/>
          <w:szCs w:val="16"/>
        </w:rPr>
        <w:t xml:space="preserve"> SDA-03-2025-1878</w:t>
      </w:r>
    </w:p>
    <w:p w14:paraId="72C55FC4"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18F7E9C0"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1" w:name="word_reporte"/>
      <w:r>
        <w:rPr>
          <w:rFonts w:ascii="Arial" w:hAnsi="Arial" w:cs="Arial"/>
          <w:sz w:val="20"/>
          <w:szCs w:val="20"/>
        </w:rPr>
        <w:t xml:space="preserve"> </w:t>
      </w:r>
      <w:bookmarkEnd w:id="11"/>
    </w:p>
    <w:p w14:paraId="79CF34DA"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FE8F9" w14:textId="77777777" w:rsidR="0032157A" w:rsidRDefault="0032157A">
      <w:pPr>
        <w:spacing w:after="0" w:line="240" w:lineRule="auto"/>
      </w:pPr>
      <w:r>
        <w:separator/>
      </w:r>
    </w:p>
  </w:endnote>
  <w:endnote w:type="continuationSeparator" w:id="0">
    <w:p w14:paraId="7B76B212" w14:textId="77777777" w:rsidR="0032157A" w:rsidRDefault="00321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0ADF6"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71AE8BB5"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B8172A" w14:paraId="01116837" w14:textId="77777777">
      <w:trPr>
        <w:trHeight w:val="1320"/>
      </w:trPr>
      <w:tc>
        <w:tcPr>
          <w:tcW w:w="4824" w:type="dxa"/>
          <w:tcMar>
            <w:top w:w="0" w:type="dxa"/>
            <w:left w:w="0" w:type="dxa"/>
            <w:bottom w:w="0" w:type="dxa"/>
            <w:right w:w="0" w:type="dxa"/>
          </w:tcMar>
          <w:vAlign w:val="center"/>
        </w:tcPr>
        <w:p w14:paraId="50329AAF" w14:textId="19A5BFE7" w:rsidR="00B8172A" w:rsidRDefault="00277ABA">
          <w:pPr>
            <w:pStyle w:val="Normal0"/>
          </w:pPr>
          <w:r>
            <w:rPr>
              <w:noProof/>
            </w:rPr>
            <w:drawing>
              <wp:inline distT="0" distB="0" distL="0" distR="0" wp14:anchorId="238AC080" wp14:editId="43972CFD">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0651633" w14:textId="767B1EDA" w:rsidR="00B8172A" w:rsidRDefault="00277ABA">
          <w:pPr>
            <w:pStyle w:val="Normal0"/>
            <w:jc w:val="right"/>
          </w:pPr>
          <w:r>
            <w:rPr>
              <w:noProof/>
            </w:rPr>
            <w:drawing>
              <wp:inline distT="0" distB="0" distL="0" distR="0" wp14:anchorId="1D07AFB1" wp14:editId="6A0FAD60">
                <wp:extent cx="1577340" cy="807720"/>
                <wp:effectExtent l="0" t="0" r="3810" b="0"/>
                <wp:docPr id="57545450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13D7B69D" w14:textId="77777777" w:rsidR="00B8172A" w:rsidRDefault="00B817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6BE68" w14:textId="77777777" w:rsidR="0032157A" w:rsidRDefault="0032157A">
      <w:pPr>
        <w:spacing w:after="0" w:line="240" w:lineRule="auto"/>
      </w:pPr>
      <w:r>
        <w:separator/>
      </w:r>
    </w:p>
  </w:footnote>
  <w:footnote w:type="continuationSeparator" w:id="0">
    <w:p w14:paraId="555F1F22" w14:textId="77777777" w:rsidR="0032157A" w:rsidRDefault="003215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F8CC5"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B8172A" w14:paraId="3AA4E1E4" w14:textId="77777777">
      <w:tc>
        <w:tcPr>
          <w:tcW w:w="9406" w:type="dxa"/>
          <w:tcMar>
            <w:top w:w="160" w:type="dxa"/>
            <w:left w:w="0" w:type="dxa"/>
            <w:bottom w:w="0" w:type="dxa"/>
            <w:right w:w="0" w:type="dxa"/>
          </w:tcMar>
        </w:tcPr>
        <w:p w14:paraId="4A084752" w14:textId="79EBFF90" w:rsidR="00B8172A" w:rsidRDefault="00277ABA">
          <w:pPr>
            <w:pStyle w:val="Normal1"/>
            <w:jc w:val="center"/>
          </w:pPr>
          <w:r>
            <w:rPr>
              <w:noProof/>
            </w:rPr>
            <w:drawing>
              <wp:inline distT="0" distB="0" distL="0" distR="0" wp14:anchorId="1E1B975E" wp14:editId="260DC930">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627ABE25" w14:textId="77777777" w:rsidR="00B8172A" w:rsidRDefault="00B8172A"/>
  <w:p w14:paraId="19DD74E0" w14:textId="77777777" w:rsidR="005433B0" w:rsidRDefault="005433B0" w:rsidP="00151297">
    <w:pPr>
      <w:pStyle w:val="Encabezado"/>
      <w:jc w:val="center"/>
      <w:rPr>
        <w:noProof/>
        <w:lang w:eastAsia="es-CO"/>
      </w:rPr>
    </w:pPr>
  </w:p>
  <w:p w14:paraId="5FD96A46"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781850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72A"/>
    <w:rsid w:val="00091096"/>
    <w:rsid w:val="000F3F6D"/>
    <w:rsid w:val="00151297"/>
    <w:rsid w:val="00151E86"/>
    <w:rsid w:val="00277ABA"/>
    <w:rsid w:val="0032157A"/>
    <w:rsid w:val="00454FDF"/>
    <w:rsid w:val="004A586C"/>
    <w:rsid w:val="00521220"/>
    <w:rsid w:val="005433B0"/>
    <w:rsid w:val="006A57A7"/>
    <w:rsid w:val="00721654"/>
    <w:rsid w:val="007E0C89"/>
    <w:rsid w:val="00855A3B"/>
    <w:rsid w:val="00A77307"/>
    <w:rsid w:val="00B8172A"/>
    <w:rsid w:val="00D3506E"/>
    <w:rsid w:val="00F277A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3FE27"/>
  <w15:docId w15:val="{82CF9504-1F96-461D-9795-B9DC2B91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semiHidden/>
    <w:unhideWhenUsed/>
    <w:qFormat/>
    <w:rsid w:val="00277ABA"/>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lang w:val="es-CO"/>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semiHidden/>
    <w:rsid w:val="00277ABA"/>
    <w:rPr>
      <w:rFonts w:asciiTheme="minorHAnsi" w:eastAsiaTheme="majorEastAsia" w:hAnsiTheme="minorHAnsi" w:cstheme="majorBidi"/>
      <w:i/>
      <w:iCs/>
      <w:color w:val="2E74B5" w:themeColor="accent1" w:themeShade="BF"/>
      <w:kern w:val="2"/>
      <w:sz w:val="24"/>
      <w:szCs w:val="24"/>
      <w:lang w:val="es-CO"/>
      <w14:ligatures w14:val="standardContextual"/>
    </w:rPr>
  </w:style>
  <w:style w:type="paragraph" w:styleId="Sinespaciado">
    <w:name w:val="No Spacing"/>
    <w:uiPriority w:val="1"/>
    <w:qFormat/>
    <w:rsid w:val="00277ABA"/>
    <w:rPr>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1707</Words>
  <Characters>9393</Characters>
  <Application>Microsoft Office Word</Application>
  <DocSecurity>0</DocSecurity>
  <Lines>78</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2025-08-29T17:14:00Z</dcterms:created>
  <dcterms:modified xsi:type="dcterms:W3CDTF">2025-08-29T17:14:00Z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